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575EEF" w:rsidRDefault="00C975B4" w:rsidP="002A49C8">
            <w:pPr>
              <w:tabs>
                <w:tab w:val="left" w:pos="2190"/>
              </w:tabs>
              <w:spacing w:before="120"/>
              <w:jc w:val="center"/>
              <w:rPr>
                <w:b/>
                <w:sz w:val="23"/>
                <w:szCs w:val="23"/>
              </w:rPr>
            </w:pPr>
            <w:r w:rsidRPr="00233C04">
              <w:rPr>
                <w:b/>
                <w:sz w:val="23"/>
                <w:szCs w:val="23"/>
              </w:rPr>
              <w:t xml:space="preserve">ЗА ОТРАЗЯВАНЕ НА ПОСТЪПИЛИТЕ ПРЕДЛОЖЕНИЯ ОТ ОБЩЕСТВЕНИТЕ КОНСУЛТАЦИИ </w:t>
            </w:r>
            <w:r w:rsidR="00B173D2" w:rsidRPr="00233C04">
              <w:rPr>
                <w:b/>
                <w:sz w:val="23"/>
                <w:szCs w:val="23"/>
              </w:rPr>
              <w:t xml:space="preserve">НА </w:t>
            </w:r>
            <w:r w:rsidR="002A49C8">
              <w:rPr>
                <w:b/>
                <w:sz w:val="23"/>
                <w:szCs w:val="23"/>
              </w:rPr>
              <w:t xml:space="preserve">ПРОЕКТА НА </w:t>
            </w:r>
            <w:r w:rsidR="008910A5">
              <w:rPr>
                <w:b/>
                <w:sz w:val="23"/>
                <w:szCs w:val="23"/>
              </w:rPr>
              <w:t>НАРЕДБА</w:t>
            </w:r>
            <w:r w:rsidR="002A49C8">
              <w:rPr>
                <w:b/>
                <w:sz w:val="23"/>
                <w:szCs w:val="23"/>
              </w:rPr>
              <w:t xml:space="preserve"> </w:t>
            </w:r>
            <w:r w:rsidR="00B173D2" w:rsidRPr="00B173D2">
              <w:rPr>
                <w:b/>
                <w:sz w:val="23"/>
                <w:szCs w:val="23"/>
              </w:rPr>
              <w:t>ЗА ИЗМЕНЕНИЕ И ДОПЪЛНЕНИЕ НА НАРЕДБА</w:t>
            </w:r>
            <w:r w:rsidR="008910A5">
              <w:rPr>
                <w:b/>
                <w:sz w:val="23"/>
                <w:szCs w:val="23"/>
              </w:rPr>
              <w:t xml:space="preserve"> № 5 </w:t>
            </w:r>
            <w:r w:rsidR="00575EEF">
              <w:rPr>
                <w:b/>
                <w:sz w:val="23"/>
                <w:szCs w:val="23"/>
              </w:rPr>
              <w:t xml:space="preserve">ОТ </w:t>
            </w:r>
            <w:r w:rsidR="00575EEF" w:rsidRPr="00575EEF">
              <w:rPr>
                <w:b/>
                <w:sz w:val="23"/>
                <w:szCs w:val="23"/>
              </w:rPr>
              <w:t>2004 Г. ЗА КОРАБНИТЕ ДОКУМЕНТИ</w:t>
            </w:r>
          </w:p>
          <w:p w:rsidR="00E220AD" w:rsidRPr="00233C04" w:rsidRDefault="00575EEF" w:rsidP="00DA12FF">
            <w:pPr>
              <w:tabs>
                <w:tab w:val="left" w:pos="2190"/>
              </w:tabs>
              <w:spacing w:after="120"/>
              <w:jc w:val="center"/>
              <w:rPr>
                <w:b/>
                <w:sz w:val="23"/>
                <w:szCs w:val="23"/>
              </w:rPr>
            </w:pPr>
            <w:r w:rsidRPr="00575EEF">
              <w:rPr>
                <w:b/>
                <w:sz w:val="23"/>
                <w:szCs w:val="23"/>
              </w:rPr>
              <w:t>(обн., ДВ., бр. 88 от 2004 г., изм., бр. 109 от 2004 г., бр. 73 от 2005 г., бр. 9, бр. 30 и бр. 49 от 2009 г., бр. 54 от 2010 г. и бр. 11 от 2011 г., изм. и доп., бр. 39 от 2013 г. и бр. 7 от 2015 г.)</w:t>
            </w:r>
          </w:p>
        </w:tc>
      </w:tr>
      <w:tr w:rsidR="00E220AD" w:rsidRPr="00233C04" w:rsidTr="00E75A4B">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0A71F2" w:rsidRPr="00233C04" w:rsidTr="009B0128">
        <w:tc>
          <w:tcPr>
            <w:tcW w:w="622" w:type="dxa"/>
            <w:tcBorders>
              <w:top w:val="single" w:sz="36" w:space="0" w:color="2E74B5"/>
              <w:left w:val="single" w:sz="36" w:space="0" w:color="2E74B5"/>
              <w:right w:val="single" w:sz="18" w:space="0" w:color="2E74B5"/>
            </w:tcBorders>
            <w:shd w:val="clear" w:color="auto" w:fill="auto"/>
          </w:tcPr>
          <w:p w:rsidR="000A71F2" w:rsidRPr="00233C04" w:rsidRDefault="000A71F2" w:rsidP="00C975B4">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right w:val="single" w:sz="18" w:space="0" w:color="2E74B5"/>
            </w:tcBorders>
            <w:shd w:val="clear" w:color="auto" w:fill="auto"/>
          </w:tcPr>
          <w:p w:rsidR="000A71F2" w:rsidRDefault="000A71F2" w:rsidP="0036044D">
            <w:pPr>
              <w:ind w:left="-57" w:right="-57"/>
              <w:rPr>
                <w:b/>
              </w:rPr>
            </w:pPr>
            <w:r>
              <w:rPr>
                <w:b/>
              </w:rPr>
              <w:t>Сдружение с нестопанска цел „Бургаска морска асоциация“</w:t>
            </w:r>
          </w:p>
          <w:p w:rsidR="000A71F2" w:rsidRPr="0036044D" w:rsidRDefault="000A71F2" w:rsidP="00F9794A">
            <w:pPr>
              <w:ind w:left="-57" w:right="-57"/>
            </w:pPr>
            <w:r w:rsidRPr="0036044D">
              <w:t>получено по електронната поща</w:t>
            </w:r>
          </w:p>
        </w:tc>
        <w:tc>
          <w:tcPr>
            <w:tcW w:w="7938" w:type="dxa"/>
            <w:tcBorders>
              <w:top w:val="single" w:sz="36" w:space="0" w:color="2E74B5"/>
              <w:left w:val="single" w:sz="18" w:space="0" w:color="2E74B5"/>
              <w:right w:val="single" w:sz="18" w:space="0" w:color="2E74B5"/>
            </w:tcBorders>
            <w:shd w:val="clear" w:color="auto" w:fill="auto"/>
          </w:tcPr>
          <w:p w:rsidR="000A71F2" w:rsidRDefault="000A71F2" w:rsidP="00716B72">
            <w:pPr>
              <w:rPr>
                <w:sz w:val="23"/>
                <w:szCs w:val="23"/>
              </w:rPr>
            </w:pPr>
            <w:r>
              <w:rPr>
                <w:sz w:val="23"/>
                <w:szCs w:val="23"/>
              </w:rPr>
              <w:t>Текстът на съществуващата Наредба № 5:</w:t>
            </w:r>
          </w:p>
          <w:p w:rsidR="000A71F2" w:rsidRDefault="000A71F2" w:rsidP="00027546">
            <w:pPr>
              <w:rPr>
                <w:sz w:val="23"/>
                <w:szCs w:val="23"/>
              </w:rPr>
            </w:pPr>
            <w:r>
              <w:rPr>
                <w:sz w:val="23"/>
                <w:szCs w:val="23"/>
              </w:rPr>
              <w:t>„Чл. 32 (4) (Изм. – ДВ, бр. 7 от 2015 г.) Документът по ал. 1 се заверява ежегодно от директора на съответната дирекция „Морска администрация“ след одит, извършен от ИА „МА“.“</w:t>
            </w:r>
          </w:p>
          <w:p w:rsidR="000A71F2" w:rsidRDefault="000A71F2" w:rsidP="006178BB">
            <w:pPr>
              <w:rPr>
                <w:sz w:val="23"/>
                <w:szCs w:val="23"/>
              </w:rPr>
            </w:pPr>
            <w:r>
              <w:rPr>
                <w:sz w:val="23"/>
                <w:szCs w:val="23"/>
              </w:rPr>
              <w:t>да се допълни и измени така:</w:t>
            </w:r>
          </w:p>
          <w:p w:rsidR="000A71F2" w:rsidRDefault="000A71F2" w:rsidP="006178BB">
            <w:pPr>
              <w:rPr>
                <w:sz w:val="23"/>
                <w:szCs w:val="23"/>
              </w:rPr>
            </w:pPr>
            <w:r>
              <w:rPr>
                <w:sz w:val="23"/>
                <w:szCs w:val="23"/>
              </w:rPr>
              <w:t xml:space="preserve">„Чл. 32 (4) Документът по ал. 1 се заверява ежегодно от директора на съответната дирекция „Морска администрация“ </w:t>
            </w:r>
            <w:r w:rsidRPr="00ED36CC">
              <w:rPr>
                <w:b/>
                <w:sz w:val="23"/>
                <w:szCs w:val="23"/>
              </w:rPr>
              <w:t>или оправомощено от него лице</w:t>
            </w:r>
            <w:r>
              <w:rPr>
                <w:sz w:val="23"/>
                <w:szCs w:val="23"/>
              </w:rPr>
              <w:t xml:space="preserve"> след одит, извършен от ИА „МА“ </w:t>
            </w:r>
            <w:r w:rsidRPr="00ED36CC">
              <w:rPr>
                <w:b/>
                <w:sz w:val="23"/>
                <w:szCs w:val="23"/>
              </w:rPr>
              <w:t>или от признати и утвърдени по реда на чл. 73, ал. 3 от КТК организации</w:t>
            </w:r>
            <w:r>
              <w:rPr>
                <w:sz w:val="23"/>
                <w:szCs w:val="23"/>
              </w:rPr>
              <w:t>.“</w:t>
            </w:r>
          </w:p>
          <w:p w:rsidR="000A71F2" w:rsidRDefault="000A71F2" w:rsidP="006178BB">
            <w:pPr>
              <w:rPr>
                <w:sz w:val="23"/>
                <w:szCs w:val="23"/>
              </w:rPr>
            </w:pPr>
          </w:p>
          <w:p w:rsidR="000A71F2" w:rsidRDefault="000A71F2" w:rsidP="006178BB">
            <w:pPr>
              <w:rPr>
                <w:b/>
                <w:i/>
                <w:sz w:val="23"/>
                <w:szCs w:val="23"/>
              </w:rPr>
            </w:pPr>
            <w:r w:rsidRPr="008C2FE4">
              <w:rPr>
                <w:b/>
                <w:i/>
                <w:sz w:val="23"/>
                <w:szCs w:val="23"/>
              </w:rPr>
              <w:t>Мотиви:</w:t>
            </w:r>
          </w:p>
          <w:p w:rsidR="000A71F2" w:rsidRDefault="000A71F2" w:rsidP="006178BB">
            <w:pPr>
              <w:rPr>
                <w:sz w:val="23"/>
                <w:szCs w:val="23"/>
              </w:rPr>
            </w:pPr>
            <w:r>
              <w:rPr>
                <w:sz w:val="23"/>
                <w:szCs w:val="23"/>
              </w:rPr>
              <w:t>1. Ще се постигне по-голяма оперативност при одитирането и годишната заверка на свидетелството.</w:t>
            </w:r>
          </w:p>
          <w:p w:rsidR="000A71F2" w:rsidRDefault="000A71F2" w:rsidP="006178BB">
            <w:pPr>
              <w:rPr>
                <w:sz w:val="23"/>
                <w:szCs w:val="23"/>
              </w:rPr>
            </w:pPr>
            <w:r>
              <w:rPr>
                <w:sz w:val="23"/>
                <w:szCs w:val="23"/>
              </w:rPr>
              <w:t>2. Няма да бъде ангажиран директорът на съответната ДМА за всички случаи да проверява изпълнението на процедурата в подробности.</w:t>
            </w:r>
          </w:p>
          <w:p w:rsidR="000A71F2" w:rsidRDefault="000A71F2" w:rsidP="006178BB">
            <w:pPr>
              <w:rPr>
                <w:sz w:val="23"/>
                <w:szCs w:val="23"/>
              </w:rPr>
            </w:pPr>
            <w:r>
              <w:rPr>
                <w:sz w:val="23"/>
                <w:szCs w:val="23"/>
              </w:rPr>
              <w:t>3. Във всички случаи на съмнение или желание за влизане в подробностите нормативната база не отменя правото на директора на ДМА да се запознае с извършения одит и заверения документ.</w:t>
            </w:r>
          </w:p>
          <w:p w:rsidR="000A71F2" w:rsidRPr="006D752E" w:rsidRDefault="000A71F2" w:rsidP="006178BB">
            <w:pPr>
              <w:rPr>
                <w:sz w:val="23"/>
                <w:szCs w:val="23"/>
              </w:rPr>
            </w:pPr>
            <w:r>
              <w:rPr>
                <w:sz w:val="23"/>
                <w:szCs w:val="23"/>
              </w:rPr>
              <w:t>Това не отменя отговорността на директора на ДМА за работата на служителите му.</w:t>
            </w:r>
          </w:p>
        </w:tc>
        <w:tc>
          <w:tcPr>
            <w:tcW w:w="1418" w:type="dxa"/>
            <w:tcBorders>
              <w:top w:val="single" w:sz="36" w:space="0" w:color="2E74B5"/>
              <w:left w:val="single" w:sz="18" w:space="0" w:color="2E74B5"/>
              <w:right w:val="single" w:sz="18" w:space="0" w:color="2E74B5"/>
            </w:tcBorders>
            <w:shd w:val="clear" w:color="auto" w:fill="auto"/>
          </w:tcPr>
          <w:p w:rsidR="000A71F2" w:rsidRPr="00233C04" w:rsidRDefault="000A71F2" w:rsidP="00D73DF8">
            <w:pPr>
              <w:jc w:val="center"/>
              <w:rPr>
                <w:sz w:val="23"/>
                <w:szCs w:val="23"/>
              </w:rPr>
            </w:pPr>
            <w:r>
              <w:rPr>
                <w:sz w:val="23"/>
                <w:szCs w:val="23"/>
              </w:rPr>
              <w:t>Прието</w:t>
            </w:r>
          </w:p>
        </w:tc>
        <w:tc>
          <w:tcPr>
            <w:tcW w:w="2696" w:type="dxa"/>
            <w:tcBorders>
              <w:top w:val="single" w:sz="36" w:space="0" w:color="2E74B5"/>
              <w:left w:val="single" w:sz="18" w:space="0" w:color="2E74B5"/>
              <w:right w:val="single" w:sz="36" w:space="0" w:color="2E74B5"/>
            </w:tcBorders>
            <w:shd w:val="clear" w:color="auto" w:fill="auto"/>
          </w:tcPr>
          <w:p w:rsidR="000A71F2" w:rsidRPr="00233C04" w:rsidRDefault="000A71F2" w:rsidP="008F35DB">
            <w:pPr>
              <w:rPr>
                <w:sz w:val="23"/>
                <w:szCs w:val="23"/>
              </w:rPr>
            </w:pPr>
            <w:r>
              <w:rPr>
                <w:sz w:val="23"/>
                <w:szCs w:val="23"/>
              </w:rPr>
              <w:t>Отразено в проекта на наредба (§ ) и в проекта на доклад.</w:t>
            </w:r>
          </w:p>
        </w:tc>
      </w:tr>
      <w:tr w:rsidR="0068260C" w:rsidRPr="00233C04" w:rsidTr="009B0128">
        <w:tc>
          <w:tcPr>
            <w:tcW w:w="622" w:type="dxa"/>
            <w:tcBorders>
              <w:top w:val="single" w:sz="36" w:space="0" w:color="2E74B5"/>
              <w:right w:val="single" w:sz="18" w:space="0" w:color="2E74B5"/>
            </w:tcBorders>
            <w:shd w:val="clear" w:color="auto" w:fill="auto"/>
          </w:tcPr>
          <w:p w:rsidR="0068260C" w:rsidRPr="00233C04" w:rsidRDefault="0068260C" w:rsidP="007A685C">
            <w:pPr>
              <w:numPr>
                <w:ilvl w:val="0"/>
                <w:numId w:val="5"/>
              </w:numPr>
              <w:tabs>
                <w:tab w:val="left" w:pos="192"/>
              </w:tabs>
              <w:ind w:left="0" w:firstLine="0"/>
              <w:jc w:val="center"/>
              <w:rPr>
                <w:b/>
                <w:sz w:val="23"/>
                <w:szCs w:val="23"/>
              </w:rPr>
            </w:pPr>
          </w:p>
        </w:tc>
        <w:tc>
          <w:tcPr>
            <w:tcW w:w="2976" w:type="dxa"/>
            <w:tcBorders>
              <w:top w:val="single" w:sz="36" w:space="0" w:color="2E74B5"/>
              <w:left w:val="single" w:sz="18" w:space="0" w:color="2E74B5"/>
              <w:right w:val="single" w:sz="18" w:space="0" w:color="2E74B5"/>
            </w:tcBorders>
            <w:shd w:val="clear" w:color="auto" w:fill="auto"/>
          </w:tcPr>
          <w:p w:rsidR="0068260C" w:rsidRDefault="0068260C" w:rsidP="007A685C">
            <w:pPr>
              <w:ind w:left="-57" w:right="-57"/>
              <w:rPr>
                <w:b/>
              </w:rPr>
            </w:pPr>
            <w:r>
              <w:rPr>
                <w:b/>
              </w:rPr>
              <w:t>Сдружение с нестопанска цел „Българска морска камара“</w:t>
            </w:r>
          </w:p>
          <w:p w:rsidR="0068260C" w:rsidRPr="00233C04" w:rsidRDefault="0068260C" w:rsidP="005175A2">
            <w:pPr>
              <w:ind w:left="-57" w:right="-57"/>
              <w:rPr>
                <w:b/>
              </w:rPr>
            </w:pPr>
            <w:r w:rsidRPr="0036044D">
              <w:t>получено по електронната поща</w:t>
            </w:r>
          </w:p>
        </w:tc>
        <w:tc>
          <w:tcPr>
            <w:tcW w:w="7938" w:type="dxa"/>
            <w:tcBorders>
              <w:left w:val="single" w:sz="18" w:space="0" w:color="2E74B5"/>
              <w:right w:val="single" w:sz="18" w:space="0" w:color="2E74B5"/>
            </w:tcBorders>
            <w:shd w:val="clear" w:color="auto" w:fill="auto"/>
          </w:tcPr>
          <w:p w:rsidR="0068260C" w:rsidRDefault="0068260C" w:rsidP="007D41C4">
            <w:pPr>
              <w:rPr>
                <w:sz w:val="23"/>
                <w:szCs w:val="23"/>
              </w:rPr>
            </w:pPr>
            <w:r>
              <w:rPr>
                <w:sz w:val="23"/>
                <w:szCs w:val="23"/>
              </w:rPr>
              <w:t xml:space="preserve">Във връзка с проекта за изменение и допълнение на Наредба № 5 за корабните документи обръщаме внимание, че в предложението е пропуснато да се отбележи, че в Морската трудова конвенция, 2006 г. на Международната организация на труда (МОТ), която влезе в сила за България на 20.08.2013 год. Застраховките и заплатите на екипажите се отбелязват в декларация за съответствие с Морската трудова конвенция, Част </w:t>
            </w:r>
            <w:r>
              <w:rPr>
                <w:sz w:val="23"/>
                <w:szCs w:val="23"/>
                <w:lang w:val="en-US"/>
              </w:rPr>
              <w:t>I</w:t>
            </w:r>
            <w:r>
              <w:rPr>
                <w:sz w:val="23"/>
                <w:szCs w:val="23"/>
              </w:rPr>
              <w:t xml:space="preserve"> и Част </w:t>
            </w:r>
            <w:r>
              <w:rPr>
                <w:sz w:val="23"/>
                <w:szCs w:val="23"/>
                <w:lang w:val="en-US"/>
              </w:rPr>
              <w:t>II</w:t>
            </w:r>
            <w:r>
              <w:rPr>
                <w:sz w:val="23"/>
                <w:szCs w:val="23"/>
              </w:rPr>
              <w:t>, което всъщност се явява корабен документ по чл. 58б и 58в от Наредба № 5.</w:t>
            </w:r>
          </w:p>
          <w:p w:rsidR="0068260C" w:rsidRPr="007D41C4" w:rsidRDefault="0068260C" w:rsidP="007D41C4">
            <w:pPr>
              <w:rPr>
                <w:sz w:val="23"/>
                <w:szCs w:val="23"/>
              </w:rPr>
            </w:pPr>
            <w:r>
              <w:rPr>
                <w:sz w:val="23"/>
                <w:szCs w:val="23"/>
              </w:rPr>
              <w:t>Обръщаме внимание върху този пропуск с цел той  да бъде отстранен.</w:t>
            </w:r>
          </w:p>
        </w:tc>
        <w:tc>
          <w:tcPr>
            <w:tcW w:w="1418" w:type="dxa"/>
            <w:tcBorders>
              <w:top w:val="single" w:sz="36" w:space="0" w:color="2E74B5"/>
              <w:left w:val="single" w:sz="18" w:space="0" w:color="2E74B5"/>
              <w:right w:val="single" w:sz="18" w:space="0" w:color="2E74B5"/>
            </w:tcBorders>
            <w:shd w:val="clear" w:color="auto" w:fill="auto"/>
          </w:tcPr>
          <w:p w:rsidR="0068260C" w:rsidRPr="00233C04" w:rsidRDefault="0068260C" w:rsidP="007A685C">
            <w:pPr>
              <w:jc w:val="center"/>
              <w:rPr>
                <w:sz w:val="23"/>
                <w:szCs w:val="23"/>
              </w:rPr>
            </w:pPr>
            <w:r>
              <w:rPr>
                <w:sz w:val="23"/>
                <w:szCs w:val="23"/>
              </w:rPr>
              <w:t>Прието</w:t>
            </w:r>
          </w:p>
        </w:tc>
        <w:tc>
          <w:tcPr>
            <w:tcW w:w="2696" w:type="dxa"/>
            <w:tcBorders>
              <w:top w:val="single" w:sz="36" w:space="0" w:color="2E74B5"/>
              <w:left w:val="single" w:sz="18" w:space="0" w:color="2E74B5"/>
              <w:right w:val="single" w:sz="36" w:space="0" w:color="2E74B5"/>
            </w:tcBorders>
            <w:shd w:val="clear" w:color="auto" w:fill="auto"/>
          </w:tcPr>
          <w:p w:rsidR="0068260C" w:rsidRPr="00233C04" w:rsidRDefault="0068260C" w:rsidP="007A685C">
            <w:pPr>
              <w:rPr>
                <w:sz w:val="23"/>
                <w:szCs w:val="23"/>
              </w:rPr>
            </w:pPr>
            <w:r>
              <w:rPr>
                <w:sz w:val="23"/>
                <w:szCs w:val="23"/>
              </w:rPr>
              <w:t>Отразено в проекта на наредба (§ ) и в проекта на доклад.</w:t>
            </w:r>
          </w:p>
        </w:tc>
      </w:tr>
    </w:tbl>
    <w:p w:rsidR="00E96851" w:rsidRPr="00233C04" w:rsidRDefault="00E96851" w:rsidP="00133A14">
      <w:pPr>
        <w:rPr>
          <w:color w:val="FF0000"/>
          <w:sz w:val="23"/>
          <w:szCs w:val="23"/>
        </w:rPr>
      </w:pPr>
    </w:p>
    <w:sectPr w:rsidR="00E96851" w:rsidRPr="00233C04"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15" w:rsidRDefault="00800115">
      <w:r>
        <w:separator/>
      </w:r>
    </w:p>
  </w:endnote>
  <w:endnote w:type="continuationSeparator" w:id="0">
    <w:p w:rsidR="00800115" w:rsidRDefault="008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C91">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15" w:rsidRDefault="00800115">
      <w:r>
        <w:separator/>
      </w:r>
    </w:p>
  </w:footnote>
  <w:footnote w:type="continuationSeparator" w:id="0">
    <w:p w:rsidR="00800115" w:rsidRDefault="0080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07513"/>
    <w:rsid w:val="000101A6"/>
    <w:rsid w:val="000115D5"/>
    <w:rsid w:val="00016086"/>
    <w:rsid w:val="000200AF"/>
    <w:rsid w:val="00024421"/>
    <w:rsid w:val="0002544E"/>
    <w:rsid w:val="00025DD3"/>
    <w:rsid w:val="00027546"/>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A71F2"/>
    <w:rsid w:val="000B298E"/>
    <w:rsid w:val="000B2EB1"/>
    <w:rsid w:val="000B3D5F"/>
    <w:rsid w:val="000B6D57"/>
    <w:rsid w:val="000C46A7"/>
    <w:rsid w:val="000C5E61"/>
    <w:rsid w:val="000D4198"/>
    <w:rsid w:val="000E3570"/>
    <w:rsid w:val="000E623B"/>
    <w:rsid w:val="000F02C5"/>
    <w:rsid w:val="000F31C8"/>
    <w:rsid w:val="000F3490"/>
    <w:rsid w:val="0010687D"/>
    <w:rsid w:val="001143E4"/>
    <w:rsid w:val="0011484F"/>
    <w:rsid w:val="00115EDD"/>
    <w:rsid w:val="00120ABA"/>
    <w:rsid w:val="00131010"/>
    <w:rsid w:val="00133A14"/>
    <w:rsid w:val="00134E1D"/>
    <w:rsid w:val="0013629D"/>
    <w:rsid w:val="00141BFB"/>
    <w:rsid w:val="00144034"/>
    <w:rsid w:val="001440FE"/>
    <w:rsid w:val="0014437A"/>
    <w:rsid w:val="00155CAF"/>
    <w:rsid w:val="001668E1"/>
    <w:rsid w:val="00167557"/>
    <w:rsid w:val="001736C7"/>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15C27"/>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B5159"/>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044D"/>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5A2"/>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5EEF"/>
    <w:rsid w:val="00583A7E"/>
    <w:rsid w:val="00586F5C"/>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8BB"/>
    <w:rsid w:val="00617D55"/>
    <w:rsid w:val="00622B1B"/>
    <w:rsid w:val="006240D8"/>
    <w:rsid w:val="00626132"/>
    <w:rsid w:val="00634DDD"/>
    <w:rsid w:val="006361E3"/>
    <w:rsid w:val="0063730A"/>
    <w:rsid w:val="00642470"/>
    <w:rsid w:val="00642D90"/>
    <w:rsid w:val="00645DFC"/>
    <w:rsid w:val="00656642"/>
    <w:rsid w:val="006712A6"/>
    <w:rsid w:val="00671E4E"/>
    <w:rsid w:val="0067456E"/>
    <w:rsid w:val="00675133"/>
    <w:rsid w:val="00675477"/>
    <w:rsid w:val="006802C1"/>
    <w:rsid w:val="0068260C"/>
    <w:rsid w:val="00690FE6"/>
    <w:rsid w:val="00691BD4"/>
    <w:rsid w:val="00694141"/>
    <w:rsid w:val="006A512F"/>
    <w:rsid w:val="006B4070"/>
    <w:rsid w:val="006D1F20"/>
    <w:rsid w:val="006D4254"/>
    <w:rsid w:val="006D5F6F"/>
    <w:rsid w:val="006D6C3E"/>
    <w:rsid w:val="006D752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A685C"/>
    <w:rsid w:val="007B1141"/>
    <w:rsid w:val="007B24F7"/>
    <w:rsid w:val="007C6C8E"/>
    <w:rsid w:val="007D41C4"/>
    <w:rsid w:val="007D6B06"/>
    <w:rsid w:val="007E249E"/>
    <w:rsid w:val="007E633B"/>
    <w:rsid w:val="007E6AD6"/>
    <w:rsid w:val="007F135A"/>
    <w:rsid w:val="00800115"/>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0A5"/>
    <w:rsid w:val="0089123B"/>
    <w:rsid w:val="00891BE7"/>
    <w:rsid w:val="00894946"/>
    <w:rsid w:val="008A00BC"/>
    <w:rsid w:val="008A1687"/>
    <w:rsid w:val="008A2DF5"/>
    <w:rsid w:val="008A52D8"/>
    <w:rsid w:val="008A5E27"/>
    <w:rsid w:val="008A721D"/>
    <w:rsid w:val="008C0503"/>
    <w:rsid w:val="008C2FE4"/>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90860"/>
    <w:rsid w:val="00990FC4"/>
    <w:rsid w:val="0099513B"/>
    <w:rsid w:val="00996B48"/>
    <w:rsid w:val="009A19C4"/>
    <w:rsid w:val="009B0128"/>
    <w:rsid w:val="009B1744"/>
    <w:rsid w:val="009B1EE9"/>
    <w:rsid w:val="009B568A"/>
    <w:rsid w:val="009D0944"/>
    <w:rsid w:val="009D1231"/>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0F85"/>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358"/>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1213"/>
    <w:rsid w:val="00D22435"/>
    <w:rsid w:val="00D23711"/>
    <w:rsid w:val="00D25823"/>
    <w:rsid w:val="00D2649F"/>
    <w:rsid w:val="00D36CA4"/>
    <w:rsid w:val="00D37896"/>
    <w:rsid w:val="00D41A30"/>
    <w:rsid w:val="00D469E3"/>
    <w:rsid w:val="00D532DC"/>
    <w:rsid w:val="00D63557"/>
    <w:rsid w:val="00D71C75"/>
    <w:rsid w:val="00D73DF8"/>
    <w:rsid w:val="00D76AAD"/>
    <w:rsid w:val="00D76DCC"/>
    <w:rsid w:val="00D82A70"/>
    <w:rsid w:val="00D83702"/>
    <w:rsid w:val="00D838C4"/>
    <w:rsid w:val="00D96DF5"/>
    <w:rsid w:val="00DA0F8B"/>
    <w:rsid w:val="00DA12B4"/>
    <w:rsid w:val="00DA12FF"/>
    <w:rsid w:val="00DA4C8E"/>
    <w:rsid w:val="00DB5EFB"/>
    <w:rsid w:val="00DB75E1"/>
    <w:rsid w:val="00DC60E2"/>
    <w:rsid w:val="00DD139E"/>
    <w:rsid w:val="00DD4DA6"/>
    <w:rsid w:val="00DD7AA4"/>
    <w:rsid w:val="00DE1C7B"/>
    <w:rsid w:val="00DE370C"/>
    <w:rsid w:val="00DE48BE"/>
    <w:rsid w:val="00DE5489"/>
    <w:rsid w:val="00DE7B6C"/>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5A4B"/>
    <w:rsid w:val="00E76BD1"/>
    <w:rsid w:val="00E7793E"/>
    <w:rsid w:val="00E7794B"/>
    <w:rsid w:val="00E804F0"/>
    <w:rsid w:val="00E83C91"/>
    <w:rsid w:val="00E8474D"/>
    <w:rsid w:val="00E87046"/>
    <w:rsid w:val="00E9569E"/>
    <w:rsid w:val="00E96851"/>
    <w:rsid w:val="00EA151B"/>
    <w:rsid w:val="00EA3777"/>
    <w:rsid w:val="00EA5498"/>
    <w:rsid w:val="00EA759A"/>
    <w:rsid w:val="00EA7FE4"/>
    <w:rsid w:val="00EB06DD"/>
    <w:rsid w:val="00EB648A"/>
    <w:rsid w:val="00EB6C95"/>
    <w:rsid w:val="00EB6E90"/>
    <w:rsid w:val="00EB71B3"/>
    <w:rsid w:val="00EC103F"/>
    <w:rsid w:val="00EC2608"/>
    <w:rsid w:val="00EC5DBC"/>
    <w:rsid w:val="00ED364A"/>
    <w:rsid w:val="00ED36CC"/>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94A"/>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8BA9-9BC4-4A3F-9301-D07BE4E8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2016-12-13T21:38:00Z</dcterms:created>
  <dcterms:modified xsi:type="dcterms:W3CDTF">2017-07-13T00:08:00Z</dcterms:modified>
</cp:coreProperties>
</file>