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horzAnchor="margin" w:tblpX="-289" w:tblpY="458"/>
        <w:tblW w:w="15452" w:type="dxa"/>
        <w:tblLayout w:type="fixed"/>
        <w:tblLook w:val="04A0" w:firstRow="1" w:lastRow="0" w:firstColumn="1" w:lastColumn="0" w:noHBand="0" w:noVBand="1"/>
      </w:tblPr>
      <w:tblGrid>
        <w:gridCol w:w="2552"/>
        <w:gridCol w:w="8500"/>
        <w:gridCol w:w="1559"/>
        <w:gridCol w:w="2841"/>
      </w:tblGrid>
      <w:tr w:rsidR="00CC4B19" w:rsidTr="00890D37">
        <w:tc>
          <w:tcPr>
            <w:tcW w:w="2552" w:type="dxa"/>
          </w:tcPr>
          <w:p w:rsidR="00CC4B19" w:rsidRPr="00CC4B19" w:rsidRDefault="00CC4B19" w:rsidP="00890D37">
            <w:pPr>
              <w:jc w:val="center"/>
              <w:outlineLvl w:val="0"/>
              <w:rPr>
                <w:rFonts w:ascii="Times New Roman" w:hAnsi="Times New Roman" w:cs="Times New Roman"/>
                <w:b/>
                <w:sz w:val="24"/>
              </w:rPr>
            </w:pPr>
            <w:r w:rsidRPr="00CC4B19">
              <w:rPr>
                <w:rFonts w:ascii="Times New Roman" w:hAnsi="Times New Roman" w:cs="Times New Roman"/>
                <w:b/>
                <w:sz w:val="24"/>
              </w:rPr>
              <w:t xml:space="preserve">Изготвил </w:t>
            </w:r>
            <w:r w:rsidR="00E9581A">
              <w:rPr>
                <w:rFonts w:ascii="Times New Roman" w:hAnsi="Times New Roman" w:cs="Times New Roman"/>
                <w:b/>
                <w:sz w:val="24"/>
              </w:rPr>
              <w:t>предложението</w:t>
            </w:r>
          </w:p>
          <w:p w:rsidR="00CC4B19" w:rsidRPr="00CC4B19" w:rsidRDefault="00CC4B19" w:rsidP="00890D37">
            <w:pPr>
              <w:jc w:val="center"/>
              <w:outlineLvl w:val="0"/>
              <w:rPr>
                <w:rFonts w:ascii="Times New Roman" w:hAnsi="Times New Roman" w:cs="Times New Roman"/>
                <w:b/>
                <w:sz w:val="24"/>
              </w:rPr>
            </w:pPr>
          </w:p>
        </w:tc>
        <w:tc>
          <w:tcPr>
            <w:tcW w:w="8500" w:type="dxa"/>
          </w:tcPr>
          <w:p w:rsidR="00CC4B19" w:rsidRPr="00CC4B19" w:rsidRDefault="00CC4B19" w:rsidP="00890D37">
            <w:pPr>
              <w:jc w:val="center"/>
              <w:outlineLvl w:val="0"/>
              <w:rPr>
                <w:rFonts w:ascii="Times New Roman" w:hAnsi="Times New Roman" w:cs="Times New Roman"/>
                <w:b/>
                <w:sz w:val="24"/>
              </w:rPr>
            </w:pPr>
            <w:r w:rsidRPr="00CC4B19">
              <w:rPr>
                <w:rFonts w:ascii="Times New Roman" w:hAnsi="Times New Roman" w:cs="Times New Roman"/>
                <w:b/>
                <w:sz w:val="24"/>
              </w:rPr>
              <w:t>Предложение</w:t>
            </w:r>
          </w:p>
          <w:p w:rsidR="00CC4B19" w:rsidRPr="00CC4B19" w:rsidRDefault="00CC4B19" w:rsidP="00890D37">
            <w:pPr>
              <w:jc w:val="center"/>
              <w:outlineLvl w:val="0"/>
              <w:rPr>
                <w:rFonts w:ascii="Times New Roman" w:hAnsi="Times New Roman" w:cs="Times New Roman"/>
                <w:b/>
                <w:sz w:val="24"/>
                <w:lang w:val="en-US"/>
              </w:rPr>
            </w:pPr>
          </w:p>
        </w:tc>
        <w:tc>
          <w:tcPr>
            <w:tcW w:w="1559" w:type="dxa"/>
          </w:tcPr>
          <w:p w:rsidR="00CC4B19" w:rsidRPr="00CC4B19" w:rsidRDefault="00CC4B19" w:rsidP="00890D37">
            <w:pPr>
              <w:jc w:val="center"/>
              <w:outlineLvl w:val="0"/>
              <w:rPr>
                <w:rFonts w:ascii="Times New Roman" w:hAnsi="Times New Roman" w:cs="Times New Roman"/>
                <w:b/>
                <w:sz w:val="24"/>
              </w:rPr>
            </w:pPr>
            <w:r w:rsidRPr="00CC4B19">
              <w:rPr>
                <w:rFonts w:ascii="Times New Roman" w:hAnsi="Times New Roman" w:cs="Times New Roman"/>
                <w:b/>
                <w:sz w:val="24"/>
              </w:rPr>
              <w:t>Приема/ не приема предложението</w:t>
            </w:r>
          </w:p>
          <w:p w:rsidR="00CC4B19" w:rsidRPr="00CC4B19" w:rsidRDefault="00CC4B19" w:rsidP="00890D37">
            <w:pPr>
              <w:jc w:val="center"/>
              <w:outlineLvl w:val="0"/>
              <w:rPr>
                <w:rFonts w:ascii="Times New Roman" w:hAnsi="Times New Roman" w:cs="Times New Roman"/>
                <w:b/>
                <w:sz w:val="24"/>
              </w:rPr>
            </w:pPr>
          </w:p>
        </w:tc>
        <w:tc>
          <w:tcPr>
            <w:tcW w:w="2841" w:type="dxa"/>
          </w:tcPr>
          <w:p w:rsidR="00CC4B19" w:rsidRPr="00CC4B19" w:rsidRDefault="00CC4B19" w:rsidP="00890D37">
            <w:pPr>
              <w:jc w:val="center"/>
              <w:outlineLvl w:val="0"/>
              <w:rPr>
                <w:rFonts w:ascii="Times New Roman" w:hAnsi="Times New Roman" w:cs="Times New Roman"/>
                <w:b/>
                <w:sz w:val="24"/>
              </w:rPr>
            </w:pPr>
            <w:r w:rsidRPr="00CC4B19">
              <w:rPr>
                <w:rFonts w:ascii="Times New Roman" w:hAnsi="Times New Roman" w:cs="Times New Roman"/>
                <w:b/>
                <w:sz w:val="24"/>
              </w:rPr>
              <w:t xml:space="preserve">Мотиви за </w:t>
            </w:r>
            <w:proofErr w:type="spellStart"/>
            <w:r w:rsidRPr="00CC4B19">
              <w:rPr>
                <w:rFonts w:ascii="Times New Roman" w:hAnsi="Times New Roman" w:cs="Times New Roman"/>
                <w:b/>
                <w:sz w:val="24"/>
              </w:rPr>
              <w:t>неприемане</w:t>
            </w:r>
            <w:proofErr w:type="spellEnd"/>
            <w:r w:rsidRPr="00CC4B19">
              <w:rPr>
                <w:rFonts w:ascii="Times New Roman" w:hAnsi="Times New Roman" w:cs="Times New Roman"/>
                <w:b/>
                <w:sz w:val="24"/>
              </w:rPr>
              <w:t xml:space="preserve"> на предложението</w:t>
            </w:r>
          </w:p>
        </w:tc>
      </w:tr>
      <w:tr w:rsidR="00CC4B19" w:rsidTr="00890D37">
        <w:tc>
          <w:tcPr>
            <w:tcW w:w="2552" w:type="dxa"/>
          </w:tcPr>
          <w:p w:rsidR="00CC4B19" w:rsidRPr="008154C3" w:rsidRDefault="00CC4B19" w:rsidP="00890D37">
            <w:pPr>
              <w:rPr>
                <w:rFonts w:ascii="Times New Roman" w:hAnsi="Times New Roman" w:cs="Times New Roman"/>
                <w:sz w:val="24"/>
                <w:szCs w:val="24"/>
              </w:rPr>
            </w:pPr>
            <w:r w:rsidRPr="00E23CD3">
              <w:rPr>
                <w:rFonts w:ascii="Times New Roman" w:hAnsi="Times New Roman" w:cs="Times New Roman"/>
                <w:b/>
                <w:caps/>
                <w:sz w:val="24"/>
                <w:szCs w:val="24"/>
              </w:rPr>
              <w:t>Асоциация на българските предприятия за международни превози и пътищата (АЕБТРИ)</w:t>
            </w:r>
          </w:p>
        </w:tc>
        <w:tc>
          <w:tcPr>
            <w:tcW w:w="8500" w:type="dxa"/>
          </w:tcPr>
          <w:p w:rsidR="00CC4B19" w:rsidRDefault="00CC4B19" w:rsidP="00890D37">
            <w:pPr>
              <w:pStyle w:val="ListParagraph"/>
              <w:numPr>
                <w:ilvl w:val="0"/>
                <w:numId w:val="2"/>
              </w:numPr>
              <w:jc w:val="both"/>
              <w:rPr>
                <w:rFonts w:ascii="Times New Roman" w:hAnsi="Times New Roman" w:cs="Times New Roman"/>
                <w:sz w:val="24"/>
                <w:szCs w:val="24"/>
              </w:rPr>
            </w:pPr>
            <w:r w:rsidRPr="00D26C09">
              <w:rPr>
                <w:rFonts w:ascii="Times New Roman" w:hAnsi="Times New Roman" w:cs="Times New Roman"/>
                <w:sz w:val="24"/>
                <w:szCs w:val="24"/>
              </w:rPr>
              <w:t>Да отпадне т. 1.4</w:t>
            </w:r>
            <w:r>
              <w:rPr>
                <w:rFonts w:ascii="Times New Roman" w:hAnsi="Times New Roman" w:cs="Times New Roman"/>
                <w:sz w:val="24"/>
                <w:szCs w:val="24"/>
                <w:lang w:val="en-US"/>
              </w:rPr>
              <w:t>.</w:t>
            </w:r>
          </w:p>
          <w:p w:rsidR="00CC4B19"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u w:val="single"/>
                <w:lang w:val="en-US"/>
              </w:rPr>
              <w:t>:</w:t>
            </w:r>
            <w:r w:rsidRPr="005E6D9F">
              <w:rPr>
                <w:rFonts w:ascii="Times New Roman" w:hAnsi="Times New Roman" w:cs="Times New Roman"/>
                <w:i/>
                <w:sz w:val="24"/>
                <w:szCs w:val="24"/>
                <w:lang w:val="en-US"/>
              </w:rPr>
              <w:t xml:space="preserve"> </w:t>
            </w:r>
            <w:r w:rsidRPr="005E6D9F">
              <w:rPr>
                <w:rFonts w:ascii="Times New Roman" w:hAnsi="Times New Roman" w:cs="Times New Roman"/>
                <w:i/>
                <w:sz w:val="24"/>
                <w:szCs w:val="24"/>
              </w:rPr>
              <w:t>В ал. 5 на чл. 32 от Наредба № 11 от 31.10.2002 г. за международен автомобилен превоз на пътници и товари изчерпателно са посочени случаите, при които превозвач не се допуска до разпределението на разрешителните. Разпоредбите на действащата наредба не могат да бъдат изменяни или допълвани със заповед, когато това не е изрично указано в наредбата.</w:t>
            </w:r>
          </w:p>
          <w:p w:rsidR="00914190" w:rsidRPr="005E6D9F" w:rsidRDefault="00914190"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2"/>
              </w:numPr>
              <w:jc w:val="both"/>
              <w:rPr>
                <w:rFonts w:ascii="Times New Roman" w:hAnsi="Times New Roman" w:cs="Times New Roman"/>
                <w:sz w:val="24"/>
                <w:szCs w:val="24"/>
              </w:rPr>
            </w:pPr>
            <w:r w:rsidRPr="007A7832">
              <w:rPr>
                <w:rFonts w:ascii="Times New Roman" w:hAnsi="Times New Roman" w:cs="Times New Roman"/>
                <w:sz w:val="24"/>
                <w:szCs w:val="24"/>
              </w:rPr>
              <w:t>Да се възстанови текстът</w:t>
            </w:r>
            <w:r>
              <w:rPr>
                <w:rFonts w:ascii="Times New Roman" w:hAnsi="Times New Roman" w:cs="Times New Roman"/>
                <w:sz w:val="24"/>
                <w:szCs w:val="24"/>
              </w:rPr>
              <w:t xml:space="preserve"> от т. 2.2 от </w:t>
            </w:r>
            <w:r w:rsidRPr="000C20FC">
              <w:rPr>
                <w:rFonts w:ascii="Times New Roman" w:hAnsi="Times New Roman" w:cs="Times New Roman"/>
                <w:sz w:val="24"/>
                <w:szCs w:val="24"/>
              </w:rPr>
              <w:t>Заповед № 22-08-480 от 22.11.2017 г.</w:t>
            </w:r>
            <w:r>
              <w:rPr>
                <w:rFonts w:ascii="Times New Roman" w:hAnsi="Times New Roman" w:cs="Times New Roman"/>
                <w:sz w:val="24"/>
                <w:szCs w:val="24"/>
              </w:rPr>
              <w:t>, който допуска участие в разпределението на ЕКМТ/</w:t>
            </w:r>
            <w:r w:rsidRPr="000C20FC">
              <w:rPr>
                <w:rFonts w:ascii="Times New Roman" w:hAnsi="Times New Roman" w:cs="Times New Roman"/>
                <w:sz w:val="24"/>
                <w:szCs w:val="24"/>
              </w:rPr>
              <w:t>СЕМТ разрешителни</w:t>
            </w:r>
            <w:r>
              <w:rPr>
                <w:rFonts w:ascii="Times New Roman" w:hAnsi="Times New Roman" w:cs="Times New Roman"/>
                <w:sz w:val="24"/>
                <w:szCs w:val="24"/>
              </w:rPr>
              <w:t xml:space="preserve"> само с превозни средства с българска регистрация.</w:t>
            </w:r>
          </w:p>
          <w:p w:rsidR="00CC4B19"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u w:val="single"/>
                <w:lang w:val="en-US"/>
              </w:rPr>
              <w:t>:</w:t>
            </w:r>
            <w:r w:rsidRPr="005E6D9F">
              <w:rPr>
                <w:rFonts w:ascii="Times New Roman" w:hAnsi="Times New Roman" w:cs="Times New Roman"/>
                <w:i/>
                <w:sz w:val="24"/>
                <w:szCs w:val="24"/>
              </w:rPr>
              <w:t xml:space="preserve"> По този начин заповедта ще се приведе в съответствие с</w:t>
            </w:r>
            <w:r w:rsidRPr="005E6D9F">
              <w:rPr>
                <w:i/>
              </w:rPr>
              <w:t xml:space="preserve"> </w:t>
            </w:r>
            <w:r w:rsidRPr="005E6D9F">
              <w:rPr>
                <w:rFonts w:ascii="Times New Roman" w:hAnsi="Times New Roman" w:cs="Times New Roman"/>
                <w:i/>
                <w:sz w:val="24"/>
                <w:szCs w:val="24"/>
              </w:rPr>
              <w:t xml:space="preserve">ал. 4 на чл. 32 от Наредба № 11 от 31.10.2002 г. за международен автомобилен превоз на пътници и товари. Изискването за участие само с автомобили вписани в регистъра на ИААА, не е достатъчно, защото този регистър не съдържа информация за ремаркетата и </w:t>
            </w:r>
            <w:proofErr w:type="spellStart"/>
            <w:r w:rsidRPr="005E6D9F">
              <w:rPr>
                <w:rFonts w:ascii="Times New Roman" w:hAnsi="Times New Roman" w:cs="Times New Roman"/>
                <w:i/>
                <w:sz w:val="24"/>
                <w:szCs w:val="24"/>
              </w:rPr>
              <w:t>полуремаркетата</w:t>
            </w:r>
            <w:proofErr w:type="spellEnd"/>
            <w:r w:rsidRPr="005E6D9F">
              <w:rPr>
                <w:rFonts w:ascii="Times New Roman" w:hAnsi="Times New Roman" w:cs="Times New Roman"/>
                <w:i/>
                <w:sz w:val="24"/>
                <w:szCs w:val="24"/>
              </w:rPr>
              <w:t>.</w:t>
            </w:r>
          </w:p>
          <w:p w:rsidR="00914190" w:rsidRPr="005E6D9F" w:rsidRDefault="00914190"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2"/>
              </w:numPr>
              <w:jc w:val="both"/>
              <w:rPr>
                <w:rFonts w:ascii="Times New Roman" w:hAnsi="Times New Roman" w:cs="Times New Roman"/>
                <w:sz w:val="24"/>
                <w:szCs w:val="24"/>
              </w:rPr>
            </w:pPr>
            <w:r w:rsidRPr="00721E4E">
              <w:rPr>
                <w:rFonts w:ascii="Times New Roman" w:hAnsi="Times New Roman" w:cs="Times New Roman"/>
                <w:sz w:val="24"/>
                <w:szCs w:val="24"/>
              </w:rPr>
              <w:t>В</w:t>
            </w:r>
            <w:r>
              <w:rPr>
                <w:rFonts w:ascii="Times New Roman" w:hAnsi="Times New Roman" w:cs="Times New Roman"/>
                <w:sz w:val="24"/>
                <w:szCs w:val="24"/>
              </w:rPr>
              <w:t xml:space="preserve"> т. 9.3 и т. 9.11.3 да отпадне изискването в бордовия дневник, респективно в справката отчет да се посочват и всички гранични контролно-пропускателни пунктове, през които преминава превозното средство от началния до крайния пункт.</w:t>
            </w:r>
          </w:p>
          <w:p w:rsidR="00CC4B19" w:rsidRPr="005E6D9F"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rPr>
              <w:t xml:space="preserve"> Въвеждането на това допълнително изискване би представлявало допълнителна административна тежест за превозвачите, непропорционална на заложената цел. Водачите са достатъчно натоварени с допълнителни дейности, като обработка на </w:t>
            </w:r>
            <w:r w:rsidRPr="005E6D9F">
              <w:rPr>
                <w:rFonts w:ascii="Times New Roman" w:hAnsi="Times New Roman" w:cs="Times New Roman"/>
                <w:i/>
                <w:sz w:val="24"/>
                <w:szCs w:val="24"/>
              </w:rPr>
              <w:lastRenderedPageBreak/>
              <w:t xml:space="preserve">документи, постоянно следене и обслужване на </w:t>
            </w:r>
            <w:proofErr w:type="spellStart"/>
            <w:r w:rsidRPr="005E6D9F">
              <w:rPr>
                <w:rFonts w:ascii="Times New Roman" w:hAnsi="Times New Roman" w:cs="Times New Roman"/>
                <w:i/>
                <w:sz w:val="24"/>
                <w:szCs w:val="24"/>
              </w:rPr>
              <w:t>тахографите</w:t>
            </w:r>
            <w:proofErr w:type="spellEnd"/>
            <w:r w:rsidRPr="005E6D9F">
              <w:rPr>
                <w:rFonts w:ascii="Times New Roman" w:hAnsi="Times New Roman" w:cs="Times New Roman"/>
                <w:i/>
                <w:sz w:val="24"/>
                <w:szCs w:val="24"/>
              </w:rPr>
              <w:t xml:space="preserve"> и множеството уреди в кабината за заплащане на пътни такси с различни функционалности. Това би увеличило престоите на автомобилите и възможността за неволни пропуски и грешки от страна на водачите, без да допринесе за точно изчисляване на изминатото разстояние поради наличието на алтернативни маршрути между граничните пунктове. Освен това при преминаването през страните от Шенгенското пространство изискването е практически неизпълнимо поради липса на контролно-пропускателни пунктове между страните-членки.</w:t>
            </w:r>
          </w:p>
          <w:p w:rsidR="00CC4B19"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rPr>
              <w:t>Съгласно т. 5.5 от Ръководството за използването на ЕКМТ/СЕМТ разрешителните на Международния транспортен форум в дневника трябва да се попълват товарният и разтоварният пункт, но не е задължително да се записват транзитни пунктове по маршрута.</w:t>
            </w:r>
          </w:p>
          <w:p w:rsidR="00914190" w:rsidRPr="005E6D9F" w:rsidRDefault="00914190"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С цел недопускане на излишна административна тежест за превозвачите в т. 10 да отпадне изискването за предоставяне на справка отчет за краткосрочните разрешителни в срок от 14 дни след изтичане на валидността им.</w:t>
            </w:r>
          </w:p>
          <w:p w:rsidR="00CC4B19"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u w:val="single"/>
                <w:lang w:val="en-US"/>
              </w:rPr>
              <w:t>:</w:t>
            </w:r>
            <w:r w:rsidRPr="005E6D9F">
              <w:rPr>
                <w:rFonts w:ascii="Times New Roman" w:hAnsi="Times New Roman" w:cs="Times New Roman"/>
                <w:i/>
                <w:sz w:val="24"/>
                <w:szCs w:val="24"/>
              </w:rPr>
              <w:t xml:space="preserve"> Съгласно т. 11, както и т. 5.12 от Ръководството за използването на ЕКМТ/СЕМТ разрешителните</w:t>
            </w:r>
            <w:r w:rsidRPr="005E6D9F">
              <w:rPr>
                <w:i/>
              </w:rPr>
              <w:t xml:space="preserve"> </w:t>
            </w:r>
            <w:r w:rsidRPr="005E6D9F">
              <w:rPr>
                <w:rFonts w:ascii="Times New Roman" w:hAnsi="Times New Roman" w:cs="Times New Roman"/>
                <w:i/>
                <w:sz w:val="24"/>
                <w:szCs w:val="24"/>
              </w:rPr>
              <w:t>на Международния транспортен форум в същия срок превозвачът връща самите краткосрочни разрешителни и бордовите дневници към тях, в които е налична цялата информация за използването на разрешителното.</w:t>
            </w:r>
          </w:p>
          <w:p w:rsidR="00914190" w:rsidRPr="005E6D9F" w:rsidRDefault="00914190"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2"/>
              </w:numPr>
              <w:jc w:val="both"/>
              <w:rPr>
                <w:rFonts w:ascii="Times New Roman" w:hAnsi="Times New Roman" w:cs="Times New Roman"/>
                <w:sz w:val="24"/>
                <w:szCs w:val="24"/>
              </w:rPr>
            </w:pPr>
            <w:r w:rsidRPr="001F29BB">
              <w:rPr>
                <w:rFonts w:ascii="Times New Roman" w:hAnsi="Times New Roman" w:cs="Times New Roman"/>
                <w:sz w:val="24"/>
                <w:szCs w:val="24"/>
              </w:rPr>
              <w:t>Да отпадне т.</w:t>
            </w:r>
            <w:r>
              <w:rPr>
                <w:rFonts w:ascii="Times New Roman" w:hAnsi="Times New Roman" w:cs="Times New Roman"/>
                <w:sz w:val="24"/>
                <w:szCs w:val="24"/>
              </w:rPr>
              <w:t xml:space="preserve"> 10.2.</w:t>
            </w:r>
          </w:p>
          <w:p w:rsidR="00CC4B19"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u w:val="single"/>
                <w:lang w:val="en-US"/>
              </w:rPr>
              <w:t>:</w:t>
            </w:r>
            <w:r w:rsidRPr="005E6D9F">
              <w:rPr>
                <w:rFonts w:ascii="Times New Roman" w:hAnsi="Times New Roman" w:cs="Times New Roman"/>
                <w:i/>
                <w:sz w:val="24"/>
                <w:szCs w:val="24"/>
              </w:rPr>
              <w:t xml:space="preserve"> Текстът на тази точка внася допълнителна рестрикция и е в противоречие с ал. 12 на чл. 32 от Наредба № 11 от 31.10.2002 г. за международен автомобилен превоз на пътници и товари, където изчерпателно са посочени случаите, при които се отнема разрешителното. В т. 9 на ал. 12 е посочено изрично, че разрешителното се отнема, ако не се представи справка-отчет. Спирането на достъпа до информационната система на ИААА би отнело възможността за </w:t>
            </w:r>
            <w:r w:rsidRPr="005E6D9F">
              <w:rPr>
                <w:rFonts w:ascii="Times New Roman" w:hAnsi="Times New Roman" w:cs="Times New Roman"/>
                <w:i/>
                <w:sz w:val="24"/>
                <w:szCs w:val="24"/>
              </w:rPr>
              <w:lastRenderedPageBreak/>
              <w:t>предоставяне на такава справка, макар и със закъснение. Самото закъснение би могло да се санкционира с други административно-наказателни мерки, предвидени в Закона за автомобилните превози.</w:t>
            </w:r>
          </w:p>
          <w:p w:rsidR="00914190" w:rsidRPr="005E6D9F" w:rsidRDefault="00914190" w:rsidP="00890D37">
            <w:pPr>
              <w:pStyle w:val="ListParagraph"/>
              <w:jc w:val="both"/>
              <w:rPr>
                <w:rFonts w:ascii="Times New Roman" w:hAnsi="Times New Roman" w:cs="Times New Roman"/>
                <w:i/>
                <w:sz w:val="24"/>
                <w:szCs w:val="24"/>
              </w:rPr>
            </w:pPr>
          </w:p>
          <w:p w:rsidR="00CC4B19" w:rsidRPr="002303AE" w:rsidRDefault="00CC4B19" w:rsidP="00890D37">
            <w:pPr>
              <w:pStyle w:val="ListParagraph"/>
              <w:numPr>
                <w:ilvl w:val="0"/>
                <w:numId w:val="2"/>
              </w:numPr>
              <w:jc w:val="both"/>
              <w:rPr>
                <w:rFonts w:ascii="Times New Roman" w:hAnsi="Times New Roman" w:cs="Times New Roman"/>
                <w:sz w:val="24"/>
                <w:szCs w:val="24"/>
              </w:rPr>
            </w:pPr>
            <w:r w:rsidRPr="002303AE">
              <w:rPr>
                <w:rFonts w:ascii="Times New Roman" w:hAnsi="Times New Roman" w:cs="Times New Roman"/>
                <w:sz w:val="24"/>
                <w:szCs w:val="24"/>
              </w:rPr>
              <w:t>Да се възстанови текстът на т. 12 от Заповед № 22-08-480 от 22.11.2017 г., с който при намаляване на броя на превозните средства, пропорционал</w:t>
            </w:r>
            <w:r>
              <w:rPr>
                <w:rFonts w:ascii="Times New Roman" w:hAnsi="Times New Roman" w:cs="Times New Roman"/>
                <w:sz w:val="24"/>
                <w:szCs w:val="24"/>
              </w:rPr>
              <w:t>но се намалява и броят на ЕКМТ/</w:t>
            </w:r>
            <w:r w:rsidRPr="002303AE">
              <w:rPr>
                <w:rFonts w:ascii="Times New Roman" w:hAnsi="Times New Roman" w:cs="Times New Roman"/>
                <w:sz w:val="24"/>
                <w:szCs w:val="24"/>
              </w:rPr>
              <w:t>СЕМТ разрешителните, представени на превозвача.</w:t>
            </w:r>
          </w:p>
          <w:p w:rsidR="00CC4B19" w:rsidRPr="005E6D9F" w:rsidRDefault="00CC4B19" w:rsidP="00890D37">
            <w:pPr>
              <w:pStyle w:val="ListParagraph"/>
              <w:jc w:val="both"/>
              <w:rPr>
                <w:rFonts w:ascii="Times New Roman" w:hAnsi="Times New Roman" w:cs="Times New Roman"/>
                <w:i/>
                <w:sz w:val="24"/>
                <w:szCs w:val="24"/>
              </w:rPr>
            </w:pPr>
            <w:r w:rsidRPr="005E6D9F">
              <w:rPr>
                <w:rFonts w:ascii="Times New Roman" w:hAnsi="Times New Roman" w:cs="Times New Roman"/>
                <w:i/>
                <w:sz w:val="24"/>
                <w:szCs w:val="24"/>
                <w:u w:val="single"/>
              </w:rPr>
              <w:t>Мотиви</w:t>
            </w:r>
            <w:r w:rsidRPr="005E6D9F">
              <w:rPr>
                <w:rFonts w:ascii="Times New Roman" w:hAnsi="Times New Roman" w:cs="Times New Roman"/>
                <w:i/>
                <w:sz w:val="24"/>
                <w:szCs w:val="24"/>
                <w:u w:val="single"/>
                <w:lang w:val="en-US"/>
              </w:rPr>
              <w:t>:</w:t>
            </w:r>
            <w:r w:rsidRPr="005E6D9F">
              <w:rPr>
                <w:rFonts w:ascii="Times New Roman" w:hAnsi="Times New Roman" w:cs="Times New Roman"/>
                <w:i/>
                <w:sz w:val="24"/>
                <w:szCs w:val="24"/>
              </w:rPr>
              <w:t xml:space="preserve"> По този начин ще се гарантира спазването на принципа на равнопоставеност на превозвачите, залегнал при първоначалното разпределение на разрешителните.</w:t>
            </w:r>
          </w:p>
        </w:tc>
        <w:tc>
          <w:tcPr>
            <w:tcW w:w="1559" w:type="dxa"/>
          </w:tcPr>
          <w:p w:rsidR="00914190" w:rsidRDefault="00914190" w:rsidP="00890D37">
            <w:pPr>
              <w:rPr>
                <w:rFonts w:ascii="Times New Roman" w:hAnsi="Times New Roman" w:cs="Times New Roman"/>
                <w:sz w:val="24"/>
                <w:szCs w:val="24"/>
              </w:rPr>
            </w:pPr>
          </w:p>
          <w:p w:rsidR="00CC4B19" w:rsidRPr="00057A3B" w:rsidRDefault="00B716E5" w:rsidP="00890D37">
            <w:pPr>
              <w:rPr>
                <w:rFonts w:ascii="Times New Roman" w:hAnsi="Times New Roman" w:cs="Times New Roman"/>
                <w:sz w:val="24"/>
                <w:szCs w:val="24"/>
              </w:rPr>
            </w:pPr>
            <w:r w:rsidRPr="00057A3B">
              <w:rPr>
                <w:rFonts w:ascii="Times New Roman" w:hAnsi="Times New Roman" w:cs="Times New Roman"/>
                <w:sz w:val="24"/>
                <w:szCs w:val="24"/>
              </w:rPr>
              <w:t>Приема се</w:t>
            </w: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r w:rsidRPr="00057A3B">
              <w:rPr>
                <w:rFonts w:ascii="Times New Roman" w:hAnsi="Times New Roman" w:cs="Times New Roman"/>
                <w:sz w:val="24"/>
                <w:szCs w:val="24"/>
              </w:rPr>
              <w:t>Приема се</w:t>
            </w: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914190" w:rsidRDefault="00914190" w:rsidP="00890D37">
            <w:pPr>
              <w:rPr>
                <w:rFonts w:ascii="Times New Roman" w:hAnsi="Times New Roman" w:cs="Times New Roman"/>
                <w:sz w:val="24"/>
                <w:szCs w:val="24"/>
              </w:rPr>
            </w:pPr>
          </w:p>
          <w:p w:rsidR="00B716E5" w:rsidRPr="00057A3B" w:rsidRDefault="00B716E5" w:rsidP="00890D37">
            <w:pPr>
              <w:rPr>
                <w:rFonts w:ascii="Times New Roman" w:hAnsi="Times New Roman" w:cs="Times New Roman"/>
                <w:sz w:val="24"/>
                <w:szCs w:val="24"/>
              </w:rPr>
            </w:pPr>
            <w:r w:rsidRPr="00057A3B">
              <w:rPr>
                <w:rFonts w:ascii="Times New Roman" w:hAnsi="Times New Roman" w:cs="Times New Roman"/>
                <w:sz w:val="24"/>
                <w:szCs w:val="24"/>
              </w:rPr>
              <w:t>Приема се</w:t>
            </w:r>
          </w:p>
          <w:p w:rsidR="00B716E5" w:rsidRPr="00057A3B" w:rsidRDefault="00B716E5" w:rsidP="00890D37">
            <w:pPr>
              <w:rPr>
                <w:rFonts w:ascii="Times New Roman" w:hAnsi="Times New Roman" w:cs="Times New Roman"/>
              </w:rPr>
            </w:pPr>
          </w:p>
          <w:p w:rsidR="00B716E5" w:rsidRPr="00057A3B" w:rsidRDefault="00B716E5" w:rsidP="00890D37">
            <w:pPr>
              <w:rPr>
                <w:rFonts w:ascii="Times New Roman" w:hAnsi="Times New Roman" w:cs="Times New Roman"/>
              </w:rPr>
            </w:pPr>
          </w:p>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914190" w:rsidRDefault="00914190" w:rsidP="00890D37"/>
          <w:p w:rsidR="00914190" w:rsidRDefault="00914190" w:rsidP="00890D37"/>
          <w:p w:rsidR="00914190" w:rsidRDefault="00914190" w:rsidP="00890D37"/>
          <w:p w:rsidR="00B716E5" w:rsidRPr="00914190" w:rsidRDefault="00B716E5" w:rsidP="00890D37">
            <w:pPr>
              <w:rPr>
                <w:rFonts w:ascii="Times New Roman" w:hAnsi="Times New Roman" w:cs="Times New Roman"/>
                <w:sz w:val="24"/>
                <w:szCs w:val="24"/>
              </w:rPr>
            </w:pPr>
            <w:r w:rsidRPr="00914190">
              <w:rPr>
                <w:rFonts w:ascii="Times New Roman" w:hAnsi="Times New Roman" w:cs="Times New Roman"/>
                <w:sz w:val="24"/>
                <w:szCs w:val="24"/>
              </w:rPr>
              <w:t>Приема се</w:t>
            </w:r>
          </w:p>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Pr="00914190" w:rsidRDefault="00890D37" w:rsidP="00890D37">
            <w:pPr>
              <w:rPr>
                <w:rFonts w:ascii="Times New Roman" w:hAnsi="Times New Roman" w:cs="Times New Roman"/>
                <w:sz w:val="24"/>
                <w:szCs w:val="24"/>
              </w:rPr>
            </w:pPr>
            <w:r>
              <w:rPr>
                <w:rFonts w:ascii="Times New Roman" w:hAnsi="Times New Roman" w:cs="Times New Roman"/>
                <w:sz w:val="24"/>
                <w:szCs w:val="24"/>
              </w:rPr>
              <w:t>П</w:t>
            </w:r>
            <w:r w:rsidR="006A5503">
              <w:rPr>
                <w:rFonts w:ascii="Times New Roman" w:hAnsi="Times New Roman" w:cs="Times New Roman"/>
                <w:sz w:val="24"/>
                <w:szCs w:val="24"/>
              </w:rPr>
              <w:t>риема</w:t>
            </w:r>
            <w:r>
              <w:rPr>
                <w:rFonts w:ascii="Times New Roman" w:hAnsi="Times New Roman" w:cs="Times New Roman"/>
                <w:sz w:val="24"/>
                <w:szCs w:val="24"/>
              </w:rPr>
              <w:t xml:space="preserve"> се частично</w:t>
            </w:r>
            <w:r w:rsidR="008820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203D" w:rsidRDefault="0088203D" w:rsidP="0088203D">
            <w:r>
              <w:rPr>
                <w:rFonts w:ascii="Times New Roman" w:hAnsi="Times New Roman" w:cs="Times New Roman"/>
                <w:sz w:val="24"/>
                <w:szCs w:val="24"/>
              </w:rPr>
              <w:t>няма да се спира достъпът</w:t>
            </w:r>
            <w:r>
              <w:rPr>
                <w:rFonts w:ascii="Times New Roman" w:hAnsi="Times New Roman" w:cs="Times New Roman"/>
                <w:sz w:val="24"/>
                <w:szCs w:val="24"/>
              </w:rPr>
              <w:t xml:space="preserve"> до информационната </w:t>
            </w:r>
            <w:r>
              <w:rPr>
                <w:rFonts w:ascii="Times New Roman" w:hAnsi="Times New Roman" w:cs="Times New Roman"/>
                <w:sz w:val="24"/>
                <w:szCs w:val="24"/>
              </w:rPr>
              <w:lastRenderedPageBreak/>
              <w:t>система на ИААА</w:t>
            </w:r>
          </w:p>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914190" w:rsidRDefault="00914190" w:rsidP="00890D37"/>
          <w:p w:rsidR="00890D37" w:rsidRDefault="00890D37" w:rsidP="00890D37">
            <w:pPr>
              <w:rPr>
                <w:rFonts w:ascii="Times New Roman" w:hAnsi="Times New Roman" w:cs="Times New Roman"/>
                <w:sz w:val="24"/>
                <w:szCs w:val="24"/>
              </w:rPr>
            </w:pPr>
          </w:p>
          <w:p w:rsidR="00914190" w:rsidRPr="00914190" w:rsidRDefault="00914190" w:rsidP="00890D37">
            <w:pPr>
              <w:rPr>
                <w:rFonts w:ascii="Times New Roman" w:hAnsi="Times New Roman" w:cs="Times New Roman"/>
                <w:sz w:val="24"/>
                <w:szCs w:val="24"/>
              </w:rPr>
            </w:pPr>
            <w:r w:rsidRPr="00914190">
              <w:rPr>
                <w:rFonts w:ascii="Times New Roman" w:hAnsi="Times New Roman" w:cs="Times New Roman"/>
                <w:sz w:val="24"/>
                <w:szCs w:val="24"/>
              </w:rPr>
              <w:t xml:space="preserve">Приема се </w:t>
            </w:r>
          </w:p>
        </w:tc>
        <w:tc>
          <w:tcPr>
            <w:tcW w:w="2841" w:type="dxa"/>
          </w:tcPr>
          <w:p w:rsidR="00CC4B19" w:rsidRDefault="00CC4B19"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90D37"/>
          <w:p w:rsidR="00B716E5" w:rsidRDefault="00B716E5" w:rsidP="0088203D"/>
        </w:tc>
      </w:tr>
      <w:tr w:rsidR="00CC4B19" w:rsidRPr="008154C3" w:rsidTr="00890D37">
        <w:tc>
          <w:tcPr>
            <w:tcW w:w="2552" w:type="dxa"/>
          </w:tcPr>
          <w:p w:rsidR="00CC4B19" w:rsidRPr="008154C3" w:rsidRDefault="00CC4B19" w:rsidP="00890D37">
            <w:pPr>
              <w:rPr>
                <w:rFonts w:ascii="Times New Roman" w:hAnsi="Times New Roman" w:cs="Times New Roman"/>
                <w:b/>
                <w:caps/>
                <w:sz w:val="24"/>
                <w:szCs w:val="24"/>
              </w:rPr>
            </w:pPr>
            <w:r w:rsidRPr="00E23CD3">
              <w:rPr>
                <w:rFonts w:ascii="Times New Roman" w:hAnsi="Times New Roman" w:cs="Times New Roman"/>
                <w:b/>
                <w:caps/>
                <w:sz w:val="24"/>
                <w:szCs w:val="24"/>
              </w:rPr>
              <w:lastRenderedPageBreak/>
              <w:t>НАЦИОНАЛНО СДРУЖЕНИЕ НА БЪЛГАРСКИТЕ ПРЕВОЗВАЧИ (НСБП)</w:t>
            </w:r>
          </w:p>
        </w:tc>
        <w:tc>
          <w:tcPr>
            <w:tcW w:w="8500" w:type="dxa"/>
          </w:tcPr>
          <w:p w:rsidR="00CC4B19" w:rsidRPr="006A5503" w:rsidRDefault="00CC4B19" w:rsidP="00890D37">
            <w:pPr>
              <w:pStyle w:val="ListParagraph"/>
              <w:numPr>
                <w:ilvl w:val="0"/>
                <w:numId w:val="1"/>
              </w:numPr>
              <w:jc w:val="both"/>
              <w:rPr>
                <w:rFonts w:ascii="Times New Roman" w:hAnsi="Times New Roman" w:cs="Times New Roman"/>
                <w:sz w:val="24"/>
                <w:szCs w:val="24"/>
                <w:lang w:val="en-US"/>
              </w:rPr>
            </w:pPr>
            <w:r w:rsidRPr="008154C3">
              <w:rPr>
                <w:rFonts w:ascii="Times New Roman" w:hAnsi="Times New Roman" w:cs="Times New Roman"/>
                <w:sz w:val="24"/>
                <w:szCs w:val="24"/>
              </w:rPr>
              <w:t xml:space="preserve">Неприемливи са текстовете в </w:t>
            </w:r>
            <w:r w:rsidRPr="00B12D4B">
              <w:rPr>
                <w:rFonts w:ascii="Times New Roman" w:hAnsi="Times New Roman" w:cs="Times New Roman"/>
                <w:sz w:val="24"/>
                <w:szCs w:val="24"/>
              </w:rPr>
              <w:t>чл. 1 т. 1.4 и чл. 10 т.10.2., които не кореспондират с Наредба № 11.</w:t>
            </w:r>
          </w:p>
          <w:p w:rsidR="006A5503" w:rsidRPr="00914190" w:rsidRDefault="006A5503" w:rsidP="00890D37">
            <w:pPr>
              <w:pStyle w:val="ListParagraph"/>
              <w:jc w:val="both"/>
              <w:rPr>
                <w:rFonts w:ascii="Times New Roman" w:hAnsi="Times New Roman" w:cs="Times New Roman"/>
                <w:sz w:val="24"/>
                <w:szCs w:val="24"/>
                <w:lang w:val="en-US"/>
              </w:rPr>
            </w:pPr>
          </w:p>
          <w:p w:rsidR="00914190" w:rsidRPr="00B12D4B" w:rsidRDefault="00914190" w:rsidP="00890D37">
            <w:pPr>
              <w:pStyle w:val="ListParagraph"/>
              <w:jc w:val="both"/>
              <w:rPr>
                <w:rFonts w:ascii="Times New Roman" w:hAnsi="Times New Roman" w:cs="Times New Roman"/>
                <w:sz w:val="24"/>
                <w:szCs w:val="24"/>
                <w:lang w:val="en-US"/>
              </w:rPr>
            </w:pPr>
          </w:p>
          <w:p w:rsidR="00914190" w:rsidRPr="00914190" w:rsidRDefault="00CC4B19" w:rsidP="00890D37">
            <w:pPr>
              <w:pStyle w:val="ListParagraph"/>
              <w:numPr>
                <w:ilvl w:val="0"/>
                <w:numId w:val="1"/>
              </w:numPr>
              <w:jc w:val="both"/>
              <w:rPr>
                <w:rFonts w:ascii="Times New Roman" w:hAnsi="Times New Roman" w:cs="Times New Roman"/>
                <w:sz w:val="24"/>
                <w:szCs w:val="24"/>
                <w:lang w:val="en-US"/>
              </w:rPr>
            </w:pPr>
            <w:r w:rsidRPr="00B12D4B">
              <w:rPr>
                <w:rFonts w:ascii="Times New Roman" w:hAnsi="Times New Roman" w:cs="Times New Roman"/>
                <w:sz w:val="24"/>
                <w:szCs w:val="24"/>
              </w:rPr>
              <w:t>В т.9.3 и т.9.11.3 да отпадне изискването в бордовия дневник, рес</w:t>
            </w:r>
            <w:r w:rsidRPr="008154C3">
              <w:rPr>
                <w:rFonts w:ascii="Times New Roman" w:hAnsi="Times New Roman" w:cs="Times New Roman"/>
                <w:sz w:val="24"/>
                <w:szCs w:val="24"/>
              </w:rPr>
              <w:t>пективно в справката отчет да се посочват и всички гранични контролно-пропускателни пунктове,</w:t>
            </w:r>
            <w:r>
              <w:rPr>
                <w:rFonts w:ascii="Times New Roman" w:hAnsi="Times New Roman" w:cs="Times New Roman"/>
                <w:sz w:val="24"/>
                <w:szCs w:val="24"/>
              </w:rPr>
              <w:t xml:space="preserve"> през които преминава превозното средство от началния до крайния пункт.</w:t>
            </w:r>
          </w:p>
          <w:p w:rsidR="00914190" w:rsidRPr="009B493C" w:rsidRDefault="00914190" w:rsidP="00890D37">
            <w:pPr>
              <w:pStyle w:val="ListParagraph"/>
              <w:jc w:val="both"/>
              <w:rPr>
                <w:rFonts w:ascii="Times New Roman" w:hAnsi="Times New Roman" w:cs="Times New Roman"/>
                <w:sz w:val="24"/>
                <w:szCs w:val="24"/>
                <w:lang w:val="en-US"/>
              </w:rPr>
            </w:pPr>
          </w:p>
          <w:p w:rsidR="00CC4B19" w:rsidRPr="00914190" w:rsidRDefault="00CC4B19" w:rsidP="00890D37">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Неразбираемо е изискването за отчет на краткосрочните ЕКМТ</w:t>
            </w:r>
            <w:r>
              <w:rPr>
                <w:rFonts w:ascii="Times New Roman" w:hAnsi="Times New Roman" w:cs="Times New Roman"/>
                <w:sz w:val="24"/>
                <w:szCs w:val="24"/>
                <w:lang w:val="en-US"/>
              </w:rPr>
              <w:t>/</w:t>
            </w:r>
            <w:r>
              <w:rPr>
                <w:rFonts w:ascii="Times New Roman" w:hAnsi="Times New Roman" w:cs="Times New Roman"/>
                <w:sz w:val="24"/>
                <w:szCs w:val="24"/>
              </w:rPr>
              <w:t>СЕМТ разрешителни поради факта, че самите те се връщат в четиринадесетдневен срок след използването им.</w:t>
            </w:r>
          </w:p>
          <w:p w:rsidR="00914190" w:rsidRPr="00914190" w:rsidRDefault="00914190" w:rsidP="00890D37">
            <w:pPr>
              <w:jc w:val="both"/>
              <w:rPr>
                <w:rFonts w:ascii="Times New Roman" w:hAnsi="Times New Roman" w:cs="Times New Roman"/>
                <w:sz w:val="24"/>
                <w:szCs w:val="24"/>
                <w:lang w:val="en-US"/>
              </w:rPr>
            </w:pPr>
          </w:p>
          <w:p w:rsidR="00CC4B19" w:rsidRPr="00AD0EF6" w:rsidRDefault="00CC4B19" w:rsidP="00890D37">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Да се възстанови текстът на т. 12 от Заповед № 22-08-480 от 22.11.2017 г., с който при намаляване на броя на превозните средства, пропорционално се намалява и броят на</w:t>
            </w:r>
            <w:r>
              <w:t xml:space="preserve"> </w:t>
            </w:r>
            <w:r w:rsidRPr="002E130D">
              <w:rPr>
                <w:rFonts w:ascii="Times New Roman" w:hAnsi="Times New Roman" w:cs="Times New Roman"/>
                <w:sz w:val="24"/>
                <w:szCs w:val="24"/>
              </w:rPr>
              <w:t>ЕКМТ</w:t>
            </w:r>
            <w:r>
              <w:rPr>
                <w:rFonts w:ascii="Times New Roman" w:hAnsi="Times New Roman" w:cs="Times New Roman"/>
                <w:sz w:val="24"/>
                <w:szCs w:val="24"/>
              </w:rPr>
              <w:t>/</w:t>
            </w:r>
            <w:r w:rsidRPr="002E130D">
              <w:rPr>
                <w:rFonts w:ascii="Times New Roman" w:hAnsi="Times New Roman" w:cs="Times New Roman"/>
                <w:sz w:val="24"/>
                <w:szCs w:val="24"/>
              </w:rPr>
              <w:t>СЕМТ разрешителни</w:t>
            </w:r>
            <w:r>
              <w:rPr>
                <w:rFonts w:ascii="Times New Roman" w:hAnsi="Times New Roman" w:cs="Times New Roman"/>
                <w:sz w:val="24"/>
                <w:szCs w:val="24"/>
              </w:rPr>
              <w:t>те, представени на превозвача.</w:t>
            </w:r>
          </w:p>
          <w:p w:rsidR="00CC4B19" w:rsidRPr="00E823E8" w:rsidRDefault="00CC4B19" w:rsidP="00890D37">
            <w:pPr>
              <w:ind w:left="360"/>
              <w:jc w:val="both"/>
              <w:rPr>
                <w:rFonts w:ascii="Times New Roman" w:hAnsi="Times New Roman" w:cs="Times New Roman"/>
                <w:sz w:val="24"/>
                <w:szCs w:val="24"/>
                <w:lang w:val="en-US"/>
              </w:rPr>
            </w:pPr>
          </w:p>
        </w:tc>
        <w:tc>
          <w:tcPr>
            <w:tcW w:w="1559" w:type="dxa"/>
          </w:tcPr>
          <w:p w:rsidR="00CC4B19" w:rsidRDefault="006A5503" w:rsidP="00890D37">
            <w:pPr>
              <w:jc w:val="both"/>
              <w:rPr>
                <w:rFonts w:ascii="Times New Roman" w:hAnsi="Times New Roman" w:cs="Times New Roman"/>
                <w:sz w:val="24"/>
                <w:szCs w:val="24"/>
              </w:rPr>
            </w:pPr>
            <w:r>
              <w:rPr>
                <w:rFonts w:ascii="Times New Roman" w:hAnsi="Times New Roman" w:cs="Times New Roman"/>
                <w:sz w:val="24"/>
                <w:szCs w:val="24"/>
              </w:rPr>
              <w:t xml:space="preserve">Приема се частично </w:t>
            </w: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914190" w:rsidRPr="008154C3" w:rsidRDefault="00914190"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tc>
        <w:tc>
          <w:tcPr>
            <w:tcW w:w="2841" w:type="dxa"/>
          </w:tcPr>
          <w:p w:rsidR="00CC4B19" w:rsidRPr="008154C3" w:rsidRDefault="00890D37" w:rsidP="00890D37">
            <w:pPr>
              <w:jc w:val="both"/>
              <w:rPr>
                <w:rFonts w:ascii="Times New Roman" w:hAnsi="Times New Roman" w:cs="Times New Roman"/>
                <w:sz w:val="24"/>
                <w:szCs w:val="24"/>
              </w:rPr>
            </w:pPr>
            <w:r>
              <w:rPr>
                <w:rFonts w:ascii="Times New Roman" w:hAnsi="Times New Roman" w:cs="Times New Roman"/>
                <w:sz w:val="24"/>
                <w:szCs w:val="24"/>
              </w:rPr>
              <w:t>Отпада т. 1.4</w:t>
            </w:r>
          </w:p>
        </w:tc>
      </w:tr>
      <w:tr w:rsidR="00CC4B19" w:rsidRPr="008154C3" w:rsidTr="00890D37">
        <w:tc>
          <w:tcPr>
            <w:tcW w:w="2552" w:type="dxa"/>
          </w:tcPr>
          <w:p w:rsidR="00CC4B19" w:rsidRPr="00AB42BF" w:rsidRDefault="00CC4B19" w:rsidP="00890D37">
            <w:pPr>
              <w:rPr>
                <w:rFonts w:ascii="Times New Roman" w:eastAsia="Times New Roman" w:hAnsi="Times New Roman" w:cs="Times New Roman"/>
                <w:b/>
                <w:caps/>
                <w:sz w:val="24"/>
                <w:szCs w:val="24"/>
                <w:lang w:val="ru-RU" w:eastAsia="bg-BG"/>
              </w:rPr>
            </w:pPr>
            <w:r w:rsidRPr="00E23CD3">
              <w:rPr>
                <w:rFonts w:ascii="Times New Roman" w:eastAsia="Times New Roman" w:hAnsi="Times New Roman" w:cs="Times New Roman"/>
                <w:b/>
                <w:caps/>
                <w:sz w:val="24"/>
                <w:szCs w:val="24"/>
                <w:lang w:val="ru-RU" w:eastAsia="bg-BG"/>
              </w:rPr>
              <w:lastRenderedPageBreak/>
              <w:t>Камара на автомобилните превозвачи в България</w:t>
            </w:r>
            <w:r w:rsidRPr="00E23CD3">
              <w:t xml:space="preserve"> </w:t>
            </w:r>
            <w:r w:rsidRPr="00E23CD3">
              <w:rPr>
                <w:rFonts w:ascii="Times New Roman" w:hAnsi="Times New Roman" w:cs="Times New Roman"/>
                <w:b/>
                <w:caps/>
                <w:sz w:val="24"/>
                <w:szCs w:val="24"/>
              </w:rPr>
              <w:t>(</w:t>
            </w:r>
            <w:r w:rsidRPr="00E23CD3">
              <w:rPr>
                <w:rFonts w:ascii="Times New Roman" w:eastAsia="Times New Roman" w:hAnsi="Times New Roman" w:cs="Times New Roman"/>
                <w:b/>
                <w:caps/>
                <w:sz w:val="24"/>
                <w:szCs w:val="24"/>
                <w:lang w:val="ru-RU" w:eastAsia="bg-BG"/>
              </w:rPr>
              <w:t>КАПБ)</w:t>
            </w:r>
          </w:p>
          <w:p w:rsidR="00CC4B19" w:rsidRPr="008154C3" w:rsidRDefault="00CC4B19" w:rsidP="00890D37">
            <w:pPr>
              <w:rPr>
                <w:rFonts w:ascii="Times New Roman" w:hAnsi="Times New Roman" w:cs="Times New Roman"/>
                <w:b/>
                <w:caps/>
                <w:sz w:val="24"/>
                <w:szCs w:val="24"/>
              </w:rPr>
            </w:pPr>
          </w:p>
        </w:tc>
        <w:tc>
          <w:tcPr>
            <w:tcW w:w="8500" w:type="dxa"/>
          </w:tcPr>
          <w:p w:rsidR="00CC4B19" w:rsidRPr="00890D37"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На мнение сме, че въведеното ново изискване превозвача да притежава лиценз от минимум една година няма да доведе до по-голяма надеждност и компетентност на превозвачите, а ще доведе до допълнително ограничение на нови фирми до ЕКМТ/</w:t>
            </w:r>
            <w:r w:rsidRPr="006410EB">
              <w:rPr>
                <w:rFonts w:ascii="Times New Roman" w:hAnsi="Times New Roman" w:cs="Times New Roman"/>
                <w:sz w:val="24"/>
                <w:szCs w:val="24"/>
              </w:rPr>
              <w:t>СЕМТ разрешителните</w:t>
            </w:r>
            <w:r>
              <w:rPr>
                <w:rFonts w:ascii="Times New Roman" w:hAnsi="Times New Roman" w:cs="Times New Roman"/>
                <w:sz w:val="24"/>
                <w:szCs w:val="24"/>
              </w:rPr>
              <w:t>, както и трудности за големи фирми решили по една или друга причина да преструктурират и прегрупират бизнеса си</w:t>
            </w:r>
            <w:r>
              <w:rPr>
                <w:rFonts w:ascii="Times New Roman" w:hAnsi="Times New Roman" w:cs="Times New Roman"/>
                <w:sz w:val="24"/>
                <w:szCs w:val="24"/>
                <w:lang w:val="en-US"/>
              </w:rPr>
              <w:t>.</w:t>
            </w: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Pr="00890D37" w:rsidRDefault="00890D37" w:rsidP="00890D37">
            <w:pPr>
              <w:jc w:val="both"/>
              <w:rPr>
                <w:rFonts w:ascii="Times New Roman" w:hAnsi="Times New Roman" w:cs="Times New Roman"/>
                <w:sz w:val="24"/>
                <w:szCs w:val="24"/>
              </w:rPr>
            </w:pPr>
          </w:p>
          <w:p w:rsidR="00914190" w:rsidRDefault="00914190"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Default="00890D37" w:rsidP="00890D37">
            <w:pPr>
              <w:pStyle w:val="ListParagraph"/>
              <w:jc w:val="both"/>
              <w:rPr>
                <w:rFonts w:ascii="Times New Roman" w:hAnsi="Times New Roman" w:cs="Times New Roman"/>
                <w:sz w:val="24"/>
                <w:szCs w:val="24"/>
              </w:rPr>
            </w:pPr>
          </w:p>
          <w:p w:rsidR="00890D37" w:rsidRPr="006410EB" w:rsidRDefault="00890D37" w:rsidP="00890D37">
            <w:pPr>
              <w:pStyle w:val="ListParagraph"/>
              <w:jc w:val="both"/>
              <w:rPr>
                <w:rFonts w:ascii="Times New Roman" w:hAnsi="Times New Roman" w:cs="Times New Roman"/>
                <w:sz w:val="24"/>
                <w:szCs w:val="24"/>
              </w:rPr>
            </w:pPr>
          </w:p>
          <w:p w:rsidR="00E823E8"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т. 1.3 се добавя възможността превозвачът да кандидатства с наети превозни средства. Предложението ни в тази връзка е в края на т. 1.3 да </w:t>
            </w:r>
            <w:r>
              <w:rPr>
                <w:rFonts w:ascii="Times New Roman" w:hAnsi="Times New Roman" w:cs="Times New Roman"/>
                <w:sz w:val="24"/>
                <w:szCs w:val="24"/>
              </w:rPr>
              <w:lastRenderedPageBreak/>
              <w:t>бъде добавен текстът „ Наемодателят и</w:t>
            </w:r>
            <w:r>
              <w:rPr>
                <w:rFonts w:ascii="Times New Roman" w:hAnsi="Times New Roman" w:cs="Times New Roman"/>
                <w:sz w:val="24"/>
                <w:szCs w:val="24"/>
                <w:lang w:val="en-US"/>
              </w:rPr>
              <w:t>/</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лизингодателят</w:t>
            </w:r>
            <w:proofErr w:type="spellEnd"/>
            <w:r>
              <w:rPr>
                <w:rFonts w:ascii="Times New Roman" w:hAnsi="Times New Roman" w:cs="Times New Roman"/>
                <w:sz w:val="24"/>
                <w:szCs w:val="24"/>
              </w:rPr>
              <w:t xml:space="preserve"> не трябва да притежават лиценз за извършване на превоз на товари“. </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Това ще предотврати възможността да се отдават под наем превозни средства от една фирма на друга с цел кандидатстване за ЕКМТ/ СЕМТ разрешителни.</w:t>
            </w:r>
          </w:p>
          <w:p w:rsidR="00914190" w:rsidRPr="00E823E8" w:rsidRDefault="00914190"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отпадне т. 1.4, която гласи “</w:t>
            </w:r>
            <w:r w:rsidRPr="00944167">
              <w:rPr>
                <w:rFonts w:ascii="Times New Roman" w:hAnsi="Times New Roman" w:cs="Times New Roman"/>
                <w:sz w:val="24"/>
                <w:szCs w:val="24"/>
              </w:rPr>
              <w:t xml:space="preserve">да не са извършвали нарушения на условията и реда за използване на ЕКМТ/СЕМТ разрешителните, определени с т. 9 от Заповед № </w:t>
            </w:r>
            <w:r w:rsidRPr="00F562AE">
              <w:rPr>
                <w:rFonts w:ascii="Times New Roman" w:hAnsi="Times New Roman" w:cs="Times New Roman"/>
                <w:sz w:val="24"/>
                <w:szCs w:val="24"/>
              </w:rPr>
              <w:t>РД-08-480</w:t>
            </w:r>
            <w:r>
              <w:rPr>
                <w:rFonts w:ascii="Times New Roman" w:hAnsi="Times New Roman" w:cs="Times New Roman"/>
                <w:sz w:val="24"/>
                <w:szCs w:val="24"/>
              </w:rPr>
              <w:t xml:space="preserve"> </w:t>
            </w:r>
            <w:r w:rsidRPr="00944167">
              <w:rPr>
                <w:rFonts w:ascii="Times New Roman" w:hAnsi="Times New Roman" w:cs="Times New Roman"/>
                <w:sz w:val="24"/>
                <w:szCs w:val="24"/>
              </w:rPr>
              <w:t>от 22.11.2017 г. на министъра на транспорта, информационните технологии и съобщенията.</w:t>
            </w:r>
            <w:r>
              <w:rPr>
                <w:rFonts w:ascii="Times New Roman" w:hAnsi="Times New Roman" w:cs="Times New Roman"/>
                <w:sz w:val="24"/>
                <w:szCs w:val="24"/>
              </w:rPr>
              <w:t>“</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В Наредба 11 за международен автомобилен превоз на пътници и товари и по конкретно чл. 32, ал. 5, ясно са посочени нарушенията, при които превозвач не се допуска да разпределението на разрешителните.</w:t>
            </w:r>
            <w:r w:rsidRPr="00E823E8">
              <w:rPr>
                <w:rFonts w:ascii="Times New Roman" w:hAnsi="Times New Roman" w:cs="Times New Roman"/>
                <w:i/>
                <w:sz w:val="24"/>
                <w:szCs w:val="24"/>
                <w:lang w:val="en-US"/>
              </w:rPr>
              <w:t xml:space="preserve"> </w:t>
            </w:r>
            <w:r w:rsidRPr="00E823E8">
              <w:rPr>
                <w:rFonts w:ascii="Times New Roman" w:hAnsi="Times New Roman" w:cs="Times New Roman"/>
                <w:i/>
                <w:sz w:val="24"/>
                <w:szCs w:val="24"/>
              </w:rPr>
              <w:t>Важно също така е да отбележим, че в правото е недопустимо нормативните актове да имат обратно действие. Това означава, че към момента на извършване на деянието превозвачът следва да е наясно с последствията от това, а в конкретния случай това не е така.</w:t>
            </w:r>
          </w:p>
          <w:p w:rsidR="00914190" w:rsidRPr="00E823E8" w:rsidRDefault="00914190" w:rsidP="00890D37">
            <w:pPr>
              <w:pStyle w:val="ListParagraph"/>
              <w:jc w:val="both"/>
              <w:rPr>
                <w:rFonts w:ascii="Times New Roman" w:hAnsi="Times New Roman" w:cs="Times New Roman"/>
                <w:i/>
                <w:sz w:val="24"/>
                <w:szCs w:val="24"/>
              </w:rPr>
            </w:pPr>
          </w:p>
          <w:p w:rsidR="00E823E8"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Да не отпада изискването всички превозни средства да са с българска регистрация. </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Към лиценза на превозвача се вписват само моторни превозни средства, а при така разписания Проект на Заповед е допустимо да се кандидатства с ремаркета и полуремаркета с чуждестранна регистрация, нещо което създава възможност за злоупотреби от страна на превозвачите.</w:t>
            </w:r>
          </w:p>
          <w:p w:rsidR="00890D37" w:rsidRPr="00E823E8" w:rsidRDefault="00890D37" w:rsidP="00890D37">
            <w:pPr>
              <w:pStyle w:val="ListParagraph"/>
              <w:jc w:val="both"/>
              <w:rPr>
                <w:rFonts w:ascii="Times New Roman" w:hAnsi="Times New Roman" w:cs="Times New Roman"/>
                <w:i/>
                <w:sz w:val="24"/>
                <w:szCs w:val="24"/>
              </w:rPr>
            </w:pPr>
          </w:p>
          <w:p w:rsidR="00E823E8"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Да отпаднат изискванията въведени с т. 9.3 и 9.11.3 в бордовия дневник и справка-отчет да се посочват всички контролно-пропускателни пунктове, през които превозвача минава, използвайки СЕМТ разрешителното. </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 xml:space="preserve">Това изискване ще доведе до увеличаване на административната тежест, като в същото време не са ясни ползите, които ще донесе. </w:t>
            </w:r>
          </w:p>
          <w:p w:rsidR="00914190" w:rsidRDefault="00914190"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Pr="00E823E8" w:rsidRDefault="00890D37" w:rsidP="00890D37">
            <w:pPr>
              <w:pStyle w:val="ListParagraph"/>
              <w:jc w:val="both"/>
              <w:rPr>
                <w:rFonts w:ascii="Times New Roman" w:hAnsi="Times New Roman" w:cs="Times New Roman"/>
                <w:i/>
                <w:sz w:val="24"/>
                <w:szCs w:val="24"/>
              </w:rPr>
            </w:pPr>
          </w:p>
          <w:p w:rsidR="00E823E8"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Да остане старият начин на отчитане на разрешителните. </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Към момента, когато превозвачът се отчете по електронен път</w:t>
            </w:r>
            <w:r w:rsidR="0088203D">
              <w:rPr>
                <w:rFonts w:ascii="Times New Roman" w:hAnsi="Times New Roman" w:cs="Times New Roman"/>
                <w:i/>
                <w:sz w:val="24"/>
                <w:szCs w:val="24"/>
              </w:rPr>
              <w:t>,</w:t>
            </w:r>
            <w:bookmarkStart w:id="0" w:name="_GoBack"/>
            <w:bookmarkEnd w:id="0"/>
            <w:r w:rsidRPr="00E823E8">
              <w:rPr>
                <w:rFonts w:ascii="Times New Roman" w:hAnsi="Times New Roman" w:cs="Times New Roman"/>
                <w:i/>
                <w:sz w:val="24"/>
                <w:szCs w:val="24"/>
              </w:rPr>
              <w:t xml:space="preserve"> той все пак трябва да предостави отрязъците от бордовия дневник в деловодството на Изпълнителна агенция „ Автомобилна администрация“. Също така новата справка-отчет не представлява нищо друго освен механично преписване от страна на превозвача на страниците на бордовия дневник, което ще доведе до нова административна тежест за последния.</w:t>
            </w:r>
          </w:p>
          <w:p w:rsidR="00914190" w:rsidRDefault="00914190"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Default="00890D37" w:rsidP="00890D37">
            <w:pPr>
              <w:pStyle w:val="ListParagraph"/>
              <w:jc w:val="both"/>
              <w:rPr>
                <w:rFonts w:ascii="Times New Roman" w:hAnsi="Times New Roman" w:cs="Times New Roman"/>
                <w:i/>
                <w:sz w:val="24"/>
                <w:szCs w:val="24"/>
              </w:rPr>
            </w:pPr>
          </w:p>
          <w:p w:rsidR="00890D37" w:rsidRPr="00E823E8" w:rsidRDefault="00890D37"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не се отчитат краткосрочните разрешителни, тъй като самото разрешително следва да се върне в определен срок, а цялата необходима информация за отчета е вътре.</w:t>
            </w:r>
          </w:p>
          <w:p w:rsidR="006A5503" w:rsidRDefault="006A5503" w:rsidP="00890D37">
            <w:pPr>
              <w:pStyle w:val="ListParagraph"/>
              <w:jc w:val="both"/>
              <w:rPr>
                <w:rFonts w:ascii="Times New Roman" w:hAnsi="Times New Roman" w:cs="Times New Roman"/>
                <w:sz w:val="24"/>
                <w:szCs w:val="24"/>
              </w:rPr>
            </w:pPr>
          </w:p>
          <w:p w:rsidR="00E823E8"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Правим предложение изискването за ефективно използване на разрешителното да бъде на тримесечна база, т.е. в рамките на всяко тримесечие превозвачът да извършва 15 000 км. или 9 курса. </w:t>
            </w:r>
          </w:p>
          <w:p w:rsidR="00CC4B19" w:rsidRDefault="00CC4B19"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rPr>
              <w:t>На мнение сме, че това би било полезно с оглед традиционно слаби месеци през годината като януари и август.</w:t>
            </w:r>
          </w:p>
          <w:p w:rsidR="006A5503" w:rsidRPr="00E823E8" w:rsidRDefault="006A5503" w:rsidP="00890D37">
            <w:pPr>
              <w:pStyle w:val="ListParagraph"/>
              <w:jc w:val="both"/>
              <w:rPr>
                <w:rFonts w:ascii="Times New Roman" w:hAnsi="Times New Roman" w:cs="Times New Roman"/>
                <w:i/>
                <w:sz w:val="24"/>
                <w:szCs w:val="24"/>
              </w:rPr>
            </w:pPr>
          </w:p>
          <w:p w:rsidR="00CC4B19" w:rsidRDefault="00CC4B19" w:rsidP="00890D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се възстанови т. 12 от Заповед РД-08-480</w:t>
            </w:r>
            <w:r>
              <w:rPr>
                <w:rFonts w:ascii="Times New Roman" w:hAnsi="Times New Roman" w:cs="Times New Roman"/>
                <w:sz w:val="24"/>
                <w:szCs w:val="24"/>
                <w:lang w:val="en-US"/>
              </w:rPr>
              <w:t xml:space="preserve">/22.11.2017 </w:t>
            </w:r>
            <w:r>
              <w:rPr>
                <w:rFonts w:ascii="Times New Roman" w:hAnsi="Times New Roman" w:cs="Times New Roman"/>
                <w:sz w:val="24"/>
                <w:szCs w:val="24"/>
              </w:rPr>
              <w:t xml:space="preserve">г. относно разпределението на </w:t>
            </w:r>
            <w:r w:rsidRPr="007A1579">
              <w:rPr>
                <w:rFonts w:ascii="Times New Roman" w:hAnsi="Times New Roman" w:cs="Times New Roman"/>
                <w:sz w:val="24"/>
                <w:szCs w:val="24"/>
              </w:rPr>
              <w:t>ЕКМТ/СЕМТ разрешителните</w:t>
            </w:r>
            <w:r>
              <w:rPr>
                <w:rFonts w:ascii="Times New Roman" w:hAnsi="Times New Roman" w:cs="Times New Roman"/>
                <w:sz w:val="24"/>
                <w:szCs w:val="24"/>
              </w:rPr>
              <w:t xml:space="preserve"> за 2018 г., която гласи, че </w:t>
            </w:r>
            <w:r w:rsidRPr="007A1579">
              <w:rPr>
                <w:rFonts w:ascii="Times New Roman" w:hAnsi="Times New Roman" w:cs="Times New Roman"/>
                <w:sz w:val="24"/>
                <w:szCs w:val="24"/>
              </w:rPr>
              <w:t>„</w:t>
            </w:r>
            <w:r>
              <w:rPr>
                <w:rFonts w:ascii="Times New Roman" w:hAnsi="Times New Roman" w:cs="Times New Roman"/>
                <w:sz w:val="24"/>
                <w:szCs w:val="24"/>
              </w:rPr>
              <w:t xml:space="preserve"> При намаляване на автомобилите, с които превозвачът е участвал в разпределението на </w:t>
            </w:r>
            <w:r w:rsidR="006A5503">
              <w:rPr>
                <w:rFonts w:ascii="Times New Roman" w:hAnsi="Times New Roman" w:cs="Times New Roman"/>
                <w:sz w:val="24"/>
                <w:szCs w:val="24"/>
              </w:rPr>
              <w:t xml:space="preserve">ЕКМТ/СЕМТ разрешителните, </w:t>
            </w:r>
            <w:r>
              <w:rPr>
                <w:rFonts w:ascii="Times New Roman" w:hAnsi="Times New Roman" w:cs="Times New Roman"/>
                <w:sz w:val="24"/>
                <w:szCs w:val="24"/>
              </w:rPr>
              <w:t>броят на разпределените му разрешителни се намалява пропорционално на намаляването на броя на автомобилите, с които е участвал.“</w:t>
            </w:r>
          </w:p>
          <w:p w:rsidR="00CC4B19" w:rsidRPr="001F19F4" w:rsidRDefault="00CC4B19" w:rsidP="00890D37">
            <w:pPr>
              <w:pStyle w:val="ListParagraph"/>
              <w:jc w:val="both"/>
              <w:rPr>
                <w:rFonts w:ascii="Times New Roman" w:hAnsi="Times New Roman" w:cs="Times New Roman"/>
                <w:sz w:val="24"/>
                <w:szCs w:val="24"/>
              </w:rPr>
            </w:pPr>
          </w:p>
        </w:tc>
        <w:tc>
          <w:tcPr>
            <w:tcW w:w="1559" w:type="dxa"/>
          </w:tcPr>
          <w:p w:rsidR="00CC4B19" w:rsidRDefault="00CC4B19"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Не се приема</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7C3B45"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914190" w:rsidRDefault="00914190" w:rsidP="00890D37">
            <w:pPr>
              <w:jc w:val="both"/>
              <w:rPr>
                <w:rFonts w:ascii="Times New Roman" w:hAnsi="Times New Roman" w:cs="Times New Roman"/>
                <w:sz w:val="24"/>
                <w:szCs w:val="24"/>
              </w:rPr>
            </w:pPr>
            <w:r>
              <w:rPr>
                <w:rFonts w:ascii="Times New Roman" w:hAnsi="Times New Roman" w:cs="Times New Roman"/>
                <w:sz w:val="24"/>
                <w:szCs w:val="24"/>
              </w:rPr>
              <w:t>Не се приема</w:t>
            </w: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DF4BDF" w:rsidRDefault="00DF4BDF"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DF4BDF" w:rsidRDefault="006A5503" w:rsidP="00890D37">
            <w:pPr>
              <w:jc w:val="both"/>
              <w:rPr>
                <w:rFonts w:ascii="Times New Roman" w:hAnsi="Times New Roman" w:cs="Times New Roman"/>
                <w:sz w:val="24"/>
                <w:szCs w:val="24"/>
              </w:rPr>
            </w:pPr>
            <w:r>
              <w:rPr>
                <w:rFonts w:ascii="Times New Roman" w:hAnsi="Times New Roman" w:cs="Times New Roman"/>
                <w:sz w:val="24"/>
                <w:szCs w:val="24"/>
              </w:rPr>
              <w:t xml:space="preserve">Приема се </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Pr="006A5503" w:rsidRDefault="006A5503" w:rsidP="00890D37">
            <w:pPr>
              <w:jc w:val="both"/>
              <w:rPr>
                <w:rFonts w:ascii="Times New Roman" w:hAnsi="Times New Roman" w:cs="Times New Roman"/>
                <w:sz w:val="24"/>
                <w:szCs w:val="24"/>
              </w:rPr>
            </w:pPr>
          </w:p>
          <w:p w:rsidR="00DF4BDF" w:rsidRPr="008154C3" w:rsidRDefault="00DF4BDF" w:rsidP="00890D37">
            <w:pPr>
              <w:jc w:val="both"/>
              <w:rPr>
                <w:rFonts w:ascii="Times New Roman" w:hAnsi="Times New Roman" w:cs="Times New Roman"/>
                <w:sz w:val="24"/>
                <w:szCs w:val="24"/>
              </w:rPr>
            </w:pPr>
          </w:p>
        </w:tc>
        <w:tc>
          <w:tcPr>
            <w:tcW w:w="2841" w:type="dxa"/>
          </w:tcPr>
          <w:p w:rsidR="00CC4B19" w:rsidRDefault="00890D37" w:rsidP="00890D37">
            <w:pPr>
              <w:jc w:val="both"/>
              <w:rPr>
                <w:rFonts w:ascii="Times New Roman" w:hAnsi="Times New Roman" w:cs="Times New Roman"/>
                <w:sz w:val="24"/>
                <w:szCs w:val="24"/>
              </w:rPr>
            </w:pPr>
            <w:r w:rsidRPr="00890D37">
              <w:rPr>
                <w:rFonts w:ascii="Times New Roman" w:hAnsi="Times New Roman" w:cs="Times New Roman"/>
                <w:sz w:val="24"/>
                <w:szCs w:val="24"/>
              </w:rPr>
              <w:lastRenderedPageBreak/>
              <w:t>За по-ефективното разпределение на ограничения брой ЕКМТ/СЕМТ разрешителни и във връзка с ограничаване на фиктивната регистрация на превозвачи (така наречените „пощенски кутии“) е предвидено превозвачът да притежава лиценз на Общността за международен автомобилен превоз на товари срещу заплащане от минимум една година, през която да е придобил опит в извършването на автомобилен превоз на товари.</w:t>
            </w: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r w:rsidRPr="00890D37">
              <w:rPr>
                <w:rFonts w:ascii="Times New Roman" w:hAnsi="Times New Roman" w:cs="Times New Roman"/>
                <w:sz w:val="24"/>
                <w:szCs w:val="24"/>
              </w:rPr>
              <w:t xml:space="preserve">С цел намаляване на административната тежест за превозвачите и повишаване на контрола по използването и отчитането на многостранните разрешителни ЕКМТ/СЕМТ се предвижда справката-отчет </w:t>
            </w:r>
          </w:p>
          <w:p w:rsidR="00890D37" w:rsidRPr="008154C3" w:rsidRDefault="00890D37" w:rsidP="00890D37">
            <w:pPr>
              <w:jc w:val="both"/>
              <w:rPr>
                <w:rFonts w:ascii="Times New Roman" w:hAnsi="Times New Roman" w:cs="Times New Roman"/>
                <w:sz w:val="24"/>
                <w:szCs w:val="24"/>
              </w:rPr>
            </w:pPr>
            <w:r w:rsidRPr="00890D37">
              <w:rPr>
                <w:rFonts w:ascii="Times New Roman" w:hAnsi="Times New Roman" w:cs="Times New Roman"/>
                <w:sz w:val="24"/>
                <w:szCs w:val="24"/>
              </w:rPr>
              <w:t xml:space="preserve">и приложените към нея документи да се отчитат по електронен път, чрез информационната система на ИААА с достъп, предоставен на превозвачите при получаването на разпределените им ЕКМТ/СЕМТ разрешителни.  Предоставянето на възможността за електронно отчитане ще допринесе и за по-точното изготвяне на данните в редовния шест месечен доклад за използването на </w:t>
            </w:r>
            <w:r w:rsidRPr="00890D37">
              <w:rPr>
                <w:rFonts w:ascii="Times New Roman" w:hAnsi="Times New Roman" w:cs="Times New Roman"/>
                <w:sz w:val="24"/>
                <w:szCs w:val="24"/>
              </w:rPr>
              <w:lastRenderedPageBreak/>
              <w:t>ЕКМТ/СЕМТ разрешителните, който се предоставя на Секретариата на Международния транспортен форум.</w:t>
            </w:r>
          </w:p>
        </w:tc>
      </w:tr>
      <w:tr w:rsidR="00982E67" w:rsidRPr="008154C3" w:rsidTr="00890D37">
        <w:tc>
          <w:tcPr>
            <w:tcW w:w="2552" w:type="dxa"/>
          </w:tcPr>
          <w:p w:rsidR="00982E67" w:rsidRPr="00E823E8" w:rsidRDefault="00E823E8" w:rsidP="00890D37">
            <w:pPr>
              <w:rPr>
                <w:rFonts w:ascii="Times New Roman" w:eastAsia="Times New Roman" w:hAnsi="Times New Roman" w:cs="Times New Roman"/>
                <w:b/>
                <w:caps/>
                <w:sz w:val="24"/>
                <w:szCs w:val="24"/>
                <w:lang w:eastAsia="bg-BG"/>
              </w:rPr>
            </w:pPr>
            <w:r>
              <w:rPr>
                <w:rFonts w:ascii="Times New Roman" w:eastAsia="Times New Roman" w:hAnsi="Times New Roman" w:cs="Times New Roman"/>
                <w:b/>
                <w:caps/>
                <w:sz w:val="24"/>
                <w:szCs w:val="24"/>
                <w:lang w:val="ru-RU" w:eastAsia="bg-BG"/>
              </w:rPr>
              <w:lastRenderedPageBreak/>
              <w:t>Съюз на международни</w:t>
            </w:r>
            <w:r>
              <w:rPr>
                <w:rFonts w:ascii="Times New Roman" w:eastAsia="Times New Roman" w:hAnsi="Times New Roman" w:cs="Times New Roman"/>
                <w:b/>
                <w:caps/>
                <w:sz w:val="24"/>
                <w:szCs w:val="24"/>
                <w:lang w:val="ru-RU" w:eastAsia="bg-BG"/>
              </w:rPr>
              <w:lastRenderedPageBreak/>
              <w:t xml:space="preserve">те превозвачи </w:t>
            </w:r>
            <w:r>
              <w:rPr>
                <w:rFonts w:ascii="Times New Roman" w:eastAsia="Times New Roman" w:hAnsi="Times New Roman" w:cs="Times New Roman"/>
                <w:b/>
                <w:caps/>
                <w:sz w:val="24"/>
                <w:szCs w:val="24"/>
                <w:lang w:val="en-US" w:eastAsia="bg-BG"/>
              </w:rPr>
              <w:t>(</w:t>
            </w:r>
            <w:r>
              <w:rPr>
                <w:rFonts w:ascii="Times New Roman" w:eastAsia="Times New Roman" w:hAnsi="Times New Roman" w:cs="Times New Roman"/>
                <w:b/>
                <w:caps/>
                <w:sz w:val="24"/>
                <w:szCs w:val="24"/>
                <w:lang w:eastAsia="bg-BG"/>
              </w:rPr>
              <w:t>СМП</w:t>
            </w:r>
            <w:r>
              <w:rPr>
                <w:rFonts w:ascii="Times New Roman" w:eastAsia="Times New Roman" w:hAnsi="Times New Roman" w:cs="Times New Roman"/>
                <w:b/>
                <w:caps/>
                <w:sz w:val="24"/>
                <w:szCs w:val="24"/>
                <w:lang w:val="en-US" w:eastAsia="bg-BG"/>
              </w:rPr>
              <w:t>)</w:t>
            </w:r>
          </w:p>
        </w:tc>
        <w:tc>
          <w:tcPr>
            <w:tcW w:w="8500" w:type="dxa"/>
          </w:tcPr>
          <w:p w:rsidR="00982E67" w:rsidRPr="00982E67"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lastRenderedPageBreak/>
              <w:t>Точка 1.2 да бъде изменена както следва:</w:t>
            </w:r>
          </w:p>
          <w:p w:rsidR="00982E67" w:rsidRPr="00982E67" w:rsidRDefault="00982E67" w:rsidP="00890D37">
            <w:pPr>
              <w:pStyle w:val="ListParagraph"/>
              <w:jc w:val="both"/>
              <w:rPr>
                <w:rFonts w:ascii="Times New Roman" w:hAnsi="Times New Roman" w:cs="Times New Roman"/>
                <w:sz w:val="24"/>
                <w:szCs w:val="24"/>
              </w:rPr>
            </w:pPr>
            <w:r w:rsidRPr="00982E67">
              <w:rPr>
                <w:rFonts w:ascii="Times New Roman" w:hAnsi="Times New Roman" w:cs="Times New Roman"/>
                <w:sz w:val="24"/>
                <w:szCs w:val="24"/>
              </w:rPr>
              <w:t>„1.2. да притежават поне 1 (един) автомобил, отговарящ най-малко на изискванията на „Евро V сигурен“, „</w:t>
            </w:r>
            <w:proofErr w:type="spellStart"/>
            <w:r w:rsidRPr="00982E67">
              <w:rPr>
                <w:rFonts w:ascii="Times New Roman" w:hAnsi="Times New Roman" w:cs="Times New Roman"/>
                <w:sz w:val="24"/>
                <w:szCs w:val="24"/>
              </w:rPr>
              <w:t>EEVсигурен</w:t>
            </w:r>
            <w:proofErr w:type="spellEnd"/>
            <w:r w:rsidRPr="00982E67">
              <w:rPr>
                <w:rFonts w:ascii="Times New Roman" w:hAnsi="Times New Roman" w:cs="Times New Roman"/>
                <w:sz w:val="24"/>
                <w:szCs w:val="24"/>
              </w:rPr>
              <w:t xml:space="preserve">“ и/или „Евро VI </w:t>
            </w:r>
            <w:r w:rsidRPr="00982E67">
              <w:rPr>
                <w:rFonts w:ascii="Times New Roman" w:hAnsi="Times New Roman" w:cs="Times New Roman"/>
                <w:sz w:val="24"/>
                <w:szCs w:val="24"/>
              </w:rPr>
              <w:lastRenderedPageBreak/>
              <w:t>сигурен“ автомобили, които да са собствени или на лизинг, като превозните средства трябва да включени в регистъра по чл. 6, ал. 1 от Закона за автомобилните превози към датата на подаване на заявлението по т. 3;“</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 xml:space="preserve">Даването на възможност на превозвачите да ползват „наети“ моторни превозни средства би довело до фиктивно отдаване под наем на автомобили с цел облагодетелстване на даден превозвач, което ще влоши действителното състояние на превозвачите, участващи в ЕКМТ/СЕМТ разпределението. В допълнение на горното, във всички заповеди до 2017 г., до участие не са допускани  наети моторни превозни средства. </w:t>
            </w:r>
          </w:p>
          <w:p w:rsidR="00E823E8" w:rsidRPr="00982E67" w:rsidRDefault="00E823E8" w:rsidP="00890D37">
            <w:pPr>
              <w:pStyle w:val="ListParagraph"/>
              <w:jc w:val="both"/>
              <w:rPr>
                <w:rFonts w:ascii="Times New Roman" w:hAnsi="Times New Roman" w:cs="Times New Roman"/>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E823E8">
              <w:rPr>
                <w:rFonts w:ascii="Times New Roman" w:hAnsi="Times New Roman" w:cs="Times New Roman"/>
                <w:sz w:val="24"/>
                <w:szCs w:val="24"/>
              </w:rPr>
              <w:t>Да отпадне т. 1.4.</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В ал. 5 на чл. 32 от Наредба № 11 от 31.10.2002 г. за международен автомобилен превоз на пътници и товари изчерпателно са посочени случаите, при които превозвач не се допуска до разпределението на разрешителните. Разпоредбите на действаща наредба не могат да бъдат изменяни или допълвани със заповед, когато това не е изрично указано в наредбата.</w:t>
            </w:r>
          </w:p>
          <w:p w:rsidR="00982E67" w:rsidRPr="00982E67" w:rsidRDefault="00982E67" w:rsidP="00890D37">
            <w:pPr>
              <w:pStyle w:val="ListParagraph"/>
              <w:jc w:val="both"/>
              <w:rPr>
                <w:rFonts w:ascii="Times New Roman" w:hAnsi="Times New Roman" w:cs="Times New Roman"/>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Да се възстанови текстът от т. 2.2. от Заповед № 22-08-480 от 22.11.2017 г., който допуска участие в разпределението на ЕКМТ/СЕМТ разрешителни само с превозни средства с българска регистрация.</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 xml:space="preserve">По този начин заповедта ще се приведе в съответствие с чл. 4 и чл. 32 от Наредба № 11 от 31.10.2002 г. за международен автомобилен превоз на пътници и товари, и в съответствие с чл. 6, ал. 1 от Закона за автомобилните превози. Изискването за участие само с автомобили, вписани в регистъра на ИААА, не е достатъчно, защото този регистър не съдържа информация за ремаркетата и </w:t>
            </w:r>
            <w:proofErr w:type="spellStart"/>
            <w:r w:rsidRPr="00E823E8">
              <w:rPr>
                <w:rFonts w:ascii="Times New Roman" w:hAnsi="Times New Roman" w:cs="Times New Roman"/>
                <w:i/>
                <w:sz w:val="24"/>
                <w:szCs w:val="24"/>
              </w:rPr>
              <w:t>полуремаркетата</w:t>
            </w:r>
            <w:proofErr w:type="spellEnd"/>
            <w:r w:rsidRPr="00E823E8">
              <w:rPr>
                <w:rFonts w:ascii="Times New Roman" w:hAnsi="Times New Roman" w:cs="Times New Roman"/>
                <w:i/>
                <w:sz w:val="24"/>
                <w:szCs w:val="24"/>
              </w:rPr>
              <w:t>.</w:t>
            </w:r>
          </w:p>
          <w:p w:rsidR="00E823E8" w:rsidRPr="00E823E8" w:rsidRDefault="00E823E8" w:rsidP="00890D37">
            <w:pPr>
              <w:pStyle w:val="ListParagraph"/>
              <w:jc w:val="both"/>
              <w:rPr>
                <w:rFonts w:ascii="Times New Roman" w:hAnsi="Times New Roman" w:cs="Times New Roman"/>
                <w:i/>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 xml:space="preserve">В т. 9.3. и т. 9.11.3 да отпадне изискването в бордовия дневник, респективно в справката-отчет да се посочват и всички гранични </w:t>
            </w:r>
            <w:r w:rsidRPr="00982E67">
              <w:rPr>
                <w:rFonts w:ascii="Times New Roman" w:hAnsi="Times New Roman" w:cs="Times New Roman"/>
                <w:sz w:val="24"/>
                <w:szCs w:val="24"/>
              </w:rPr>
              <w:lastRenderedPageBreak/>
              <w:t>контролно-пропускателни пунктове (ГКПП), през които преминава превозното средство от началния до крайния пункт.</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 xml:space="preserve">Съгласно СЕМТ Ръководството въвеждането на ГКПП в бордовия дневник няма задължителен характер и би представлявало допълнителна административна тежест за превозвачите, непропорционална на заложената цел. Водачите са достатъчно натоварени с допълнителни дейности, като обработка на документи, постоянно следене и обслужване на </w:t>
            </w:r>
            <w:proofErr w:type="spellStart"/>
            <w:r w:rsidRPr="00E823E8">
              <w:rPr>
                <w:rFonts w:ascii="Times New Roman" w:hAnsi="Times New Roman" w:cs="Times New Roman"/>
                <w:i/>
                <w:sz w:val="24"/>
                <w:szCs w:val="24"/>
              </w:rPr>
              <w:t>тахографите</w:t>
            </w:r>
            <w:proofErr w:type="spellEnd"/>
            <w:r w:rsidRPr="00E823E8">
              <w:rPr>
                <w:rFonts w:ascii="Times New Roman" w:hAnsi="Times New Roman" w:cs="Times New Roman"/>
                <w:i/>
                <w:sz w:val="24"/>
                <w:szCs w:val="24"/>
              </w:rPr>
              <w:t xml:space="preserve"> и множеството уреди в кабината за заплащане на пътни такси с различни функционалности. Това би увеличило престоя на автомобилите и възможността за неволни пропуски и грешки от страна на водачите, без да допринесе за точно изчисляване на изминатото разстояние поради наличието на алтернативни маршрути между граничните пунктове. Освен това при преминаване през страните от Шенгенското пространство изискването е практически неизпълнимо поради липса на контролно-пропускателни пунктове между страните - членки.</w:t>
            </w:r>
            <w:r w:rsidR="00E823E8" w:rsidRPr="00E823E8">
              <w:rPr>
                <w:rFonts w:ascii="Times New Roman" w:hAnsi="Times New Roman" w:cs="Times New Roman"/>
                <w:i/>
                <w:sz w:val="24"/>
                <w:szCs w:val="24"/>
              </w:rPr>
              <w:t xml:space="preserve"> </w:t>
            </w:r>
            <w:r w:rsidRPr="00E823E8">
              <w:rPr>
                <w:rFonts w:ascii="Times New Roman" w:hAnsi="Times New Roman" w:cs="Times New Roman"/>
                <w:i/>
                <w:sz w:val="24"/>
                <w:szCs w:val="24"/>
              </w:rPr>
              <w:t>Съгласно т. 5.5. от Ръководството за използването на ЕКМТ/СЕМТ разрешителните на Международния транспортен форум в дневника трябва да се попълват товарният и разтоварният пункт, но не е задължително да се записват транзитни пунктове по маршрута.</w:t>
            </w:r>
          </w:p>
          <w:p w:rsidR="00982E67" w:rsidRPr="00982E67" w:rsidRDefault="00982E67" w:rsidP="00890D37">
            <w:pPr>
              <w:pStyle w:val="ListParagraph"/>
              <w:jc w:val="both"/>
              <w:rPr>
                <w:rFonts w:ascii="Times New Roman" w:hAnsi="Times New Roman" w:cs="Times New Roman"/>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В т. 9.10 да отпадне следния текст “Справката-отчет и приложените към нея документи трябва да бъдат четливи, като превозвачът носи отговорност за верността им“.</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При представянето на справка-отчет и приложените към нея документи превозвачите спазват условията на добрите практики, ето защо считаме, че не е налице необходимост от въвеждането на  допълнителни императивни изисквания още повече, че справката-отчет ще бъде подавана по електронен път.</w:t>
            </w:r>
          </w:p>
          <w:p w:rsidR="00982E67" w:rsidRPr="00982E67" w:rsidRDefault="00982E67" w:rsidP="00890D37">
            <w:pPr>
              <w:pStyle w:val="ListParagraph"/>
              <w:jc w:val="both"/>
              <w:rPr>
                <w:rFonts w:ascii="Times New Roman" w:hAnsi="Times New Roman" w:cs="Times New Roman"/>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 xml:space="preserve">С цел недопускане на излишна административна тежест за превозвачите в т. 10 да отпадне изискването за представяне на справка-отчет за </w:t>
            </w:r>
            <w:r w:rsidRPr="00982E67">
              <w:rPr>
                <w:rFonts w:ascii="Times New Roman" w:hAnsi="Times New Roman" w:cs="Times New Roman"/>
                <w:sz w:val="24"/>
                <w:szCs w:val="24"/>
              </w:rPr>
              <w:lastRenderedPageBreak/>
              <w:t xml:space="preserve">краткосрочните разрешителни в срок от 14 дни след изтичане на валидността им. </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Съгласно т. 11, както и т. 5.12 от Ръководството за използването на ЕКМТ/СЕМТ разрешителните на Международния транспортен форум в същия срок превозвачът връща самите краткосрочни разрешителни и бордовите дневници към тях, в които е налична цялата информация за използването на разрешителното.</w:t>
            </w:r>
          </w:p>
          <w:p w:rsidR="00982E67" w:rsidRPr="00982E67" w:rsidRDefault="00982E67" w:rsidP="00890D37">
            <w:pPr>
              <w:pStyle w:val="ListParagraph"/>
              <w:jc w:val="both"/>
              <w:rPr>
                <w:rFonts w:ascii="Times New Roman" w:hAnsi="Times New Roman" w:cs="Times New Roman"/>
                <w:sz w:val="24"/>
                <w:szCs w:val="24"/>
              </w:rPr>
            </w:pPr>
          </w:p>
          <w:p w:rsidR="00982E67" w:rsidRPr="00982E67"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Да бъде направена промяна в т. 10. – „Превозвачът представя справка- отчет за използването на годишните ЕКМТ/СЕМТ разрешителни за всеки месец от годината в срок до 20 дни след края на всяко тримесечие.“.</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 xml:space="preserve">Въвеждането на по-кратък срок  за предоставяне на справка-отчет  за използването на годишните ЕКМТ/СЕМТ разрешителни ще доведе до увеличаване на административната тежест за търговските дружества, упражняващи дейност по международен автомобилен превоз на стоки, а това не е в унисон с предприетите действия на правителството за намаляване на административната тежест. </w:t>
            </w:r>
          </w:p>
          <w:p w:rsidR="00982E67" w:rsidRPr="00E823E8" w:rsidRDefault="00982E67" w:rsidP="00890D37">
            <w:pPr>
              <w:pStyle w:val="ListParagraph"/>
              <w:jc w:val="both"/>
              <w:rPr>
                <w:rFonts w:ascii="Times New Roman" w:hAnsi="Times New Roman" w:cs="Times New Roman"/>
                <w:i/>
                <w:sz w:val="24"/>
                <w:szCs w:val="24"/>
              </w:rPr>
            </w:pPr>
          </w:p>
          <w:p w:rsidR="00982E67" w:rsidRPr="00E823E8"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Да отпадне т. 10.2.</w:t>
            </w:r>
          </w:p>
          <w:p w:rsidR="00982E67" w:rsidRPr="00E823E8" w:rsidRDefault="00982E67" w:rsidP="00890D37">
            <w:pPr>
              <w:pStyle w:val="ListParagraph"/>
              <w:jc w:val="both"/>
              <w:rPr>
                <w:rFonts w:ascii="Times New Roman" w:hAnsi="Times New Roman" w:cs="Times New Roman"/>
                <w:i/>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 xml:space="preserve">Текстът на тази точка внася допълнителна рестрикция и е в противоречие с ал. 12 на чл. 32 от Наредба № 11 от 31.10.2002 г. за международен автомобилен превоз на пътници и товари, където изчерпателно са посочени случаите, при които се отнема разрешителното. В т. 9 на ал. 12 е посочено изрично, че разрешителното се отнема, ако не се представи справка-отчет. Спирането на достъпа до информационната система на ИААА би отнело възможността за представяне на такава справка, макар и със закъснение. </w:t>
            </w:r>
          </w:p>
          <w:p w:rsidR="00982E67" w:rsidRDefault="00982E67" w:rsidP="00890D37">
            <w:pPr>
              <w:pStyle w:val="ListParagraph"/>
              <w:jc w:val="both"/>
              <w:rPr>
                <w:rFonts w:ascii="Times New Roman" w:hAnsi="Times New Roman" w:cs="Times New Roman"/>
                <w:sz w:val="24"/>
                <w:szCs w:val="24"/>
              </w:rPr>
            </w:pPr>
          </w:p>
          <w:p w:rsidR="0088203D" w:rsidRDefault="0088203D" w:rsidP="00890D37">
            <w:pPr>
              <w:pStyle w:val="ListParagraph"/>
              <w:jc w:val="both"/>
              <w:rPr>
                <w:rFonts w:ascii="Times New Roman" w:hAnsi="Times New Roman" w:cs="Times New Roman"/>
                <w:sz w:val="24"/>
                <w:szCs w:val="24"/>
              </w:rPr>
            </w:pPr>
          </w:p>
          <w:p w:rsidR="0088203D" w:rsidRPr="00982E67" w:rsidRDefault="0088203D" w:rsidP="00890D37">
            <w:pPr>
              <w:pStyle w:val="ListParagraph"/>
              <w:jc w:val="both"/>
              <w:rPr>
                <w:rFonts w:ascii="Times New Roman" w:hAnsi="Times New Roman" w:cs="Times New Roman"/>
                <w:sz w:val="24"/>
                <w:szCs w:val="24"/>
              </w:rPr>
            </w:pPr>
          </w:p>
          <w:p w:rsidR="00982E67" w:rsidRPr="00982E67"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lastRenderedPageBreak/>
              <w:t xml:space="preserve">Да отпадне т. 10.4. – „при </w:t>
            </w:r>
            <w:proofErr w:type="spellStart"/>
            <w:r w:rsidRPr="00982E67">
              <w:rPr>
                <w:rFonts w:ascii="Times New Roman" w:hAnsi="Times New Roman" w:cs="Times New Roman"/>
                <w:sz w:val="24"/>
                <w:szCs w:val="24"/>
              </w:rPr>
              <w:t>неотстраняване</w:t>
            </w:r>
            <w:proofErr w:type="spellEnd"/>
            <w:r w:rsidRPr="00982E67">
              <w:rPr>
                <w:rFonts w:ascii="Times New Roman" w:hAnsi="Times New Roman" w:cs="Times New Roman"/>
                <w:sz w:val="24"/>
                <w:szCs w:val="24"/>
              </w:rPr>
              <w:t xml:space="preserve"> на пропуските и/или неточностите в срока, предвиден в т.10.3, да се прилага чл. 32, ал. 12, т.9 от Наредба № 11.“.</w:t>
            </w:r>
          </w:p>
          <w:p w:rsidR="00982E67" w:rsidRDefault="00982E67"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C47D2B" w:rsidRDefault="00C47D2B" w:rsidP="00890D37">
            <w:pPr>
              <w:pStyle w:val="ListParagraph"/>
              <w:jc w:val="both"/>
              <w:rPr>
                <w:rFonts w:ascii="Times New Roman" w:hAnsi="Times New Roman" w:cs="Times New Roman"/>
                <w:sz w:val="24"/>
                <w:szCs w:val="24"/>
              </w:rPr>
            </w:pPr>
          </w:p>
          <w:p w:rsidR="002625D1" w:rsidRPr="00982E67" w:rsidRDefault="002625D1" w:rsidP="00890D37">
            <w:pPr>
              <w:pStyle w:val="ListParagraph"/>
              <w:jc w:val="both"/>
              <w:rPr>
                <w:rFonts w:ascii="Times New Roman" w:hAnsi="Times New Roman" w:cs="Times New Roman"/>
                <w:sz w:val="24"/>
                <w:szCs w:val="24"/>
              </w:rPr>
            </w:pPr>
          </w:p>
          <w:p w:rsidR="00982E67" w:rsidRPr="00982E67"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 xml:space="preserve">Да бъде направена промяна в т. 11 – „Превозвачът връща предоставените му краткосрочни ЕКМТ/СЕМТ разрешителни и издадените към тях бордови дневници в срок от 30 дни след изтичане на валидността им в Изпълнителна агенция „Автомобилна администрация “. При неспазване на посочения срок на превозвача не се предоставя друго краткосрочно ЕКМТ/СЕМТ разрешително.“. </w:t>
            </w:r>
          </w:p>
          <w:p w:rsidR="00982E67" w:rsidRPr="00982E67" w:rsidRDefault="00982E67" w:rsidP="00890D37">
            <w:pPr>
              <w:pStyle w:val="ListParagraph"/>
              <w:jc w:val="both"/>
              <w:rPr>
                <w:rFonts w:ascii="Times New Roman" w:hAnsi="Times New Roman" w:cs="Times New Roman"/>
                <w:sz w:val="24"/>
                <w:szCs w:val="24"/>
              </w:rPr>
            </w:pPr>
          </w:p>
          <w:p w:rsidR="00982E67" w:rsidRPr="00982E67" w:rsidRDefault="00982E67" w:rsidP="00890D37">
            <w:pPr>
              <w:pStyle w:val="ListParagraph"/>
              <w:numPr>
                <w:ilvl w:val="0"/>
                <w:numId w:val="1"/>
              </w:numPr>
              <w:jc w:val="both"/>
              <w:rPr>
                <w:rFonts w:ascii="Times New Roman" w:hAnsi="Times New Roman" w:cs="Times New Roman"/>
                <w:sz w:val="24"/>
                <w:szCs w:val="24"/>
              </w:rPr>
            </w:pPr>
            <w:r w:rsidRPr="00982E67">
              <w:rPr>
                <w:rFonts w:ascii="Times New Roman" w:hAnsi="Times New Roman" w:cs="Times New Roman"/>
                <w:sz w:val="24"/>
                <w:szCs w:val="24"/>
              </w:rPr>
              <w:t>Да се възстанови текстът на т. 12 от Заповед № 22-08-480 от 22.11.2017 г., с който при намаляване на броя на превозните средства пропорционално се намалява и броят на ЕКМТ/СЕМТ разрешителните, предоставени на превозвача.</w:t>
            </w:r>
          </w:p>
          <w:p w:rsidR="00982E67" w:rsidRDefault="00982E67" w:rsidP="00890D37">
            <w:pPr>
              <w:pStyle w:val="ListParagraph"/>
              <w:jc w:val="both"/>
              <w:rPr>
                <w:rFonts w:ascii="Times New Roman" w:hAnsi="Times New Roman" w:cs="Times New Roman"/>
                <w:sz w:val="24"/>
                <w:szCs w:val="24"/>
              </w:rPr>
            </w:pPr>
            <w:r w:rsidRPr="00E823E8">
              <w:rPr>
                <w:rFonts w:ascii="Times New Roman" w:hAnsi="Times New Roman" w:cs="Times New Roman"/>
                <w:i/>
                <w:sz w:val="24"/>
                <w:szCs w:val="24"/>
                <w:u w:val="single"/>
              </w:rPr>
              <w:t>Мотиви:</w:t>
            </w:r>
            <w:r w:rsidRPr="00982E67">
              <w:rPr>
                <w:rFonts w:ascii="Times New Roman" w:hAnsi="Times New Roman" w:cs="Times New Roman"/>
                <w:sz w:val="24"/>
                <w:szCs w:val="24"/>
              </w:rPr>
              <w:t xml:space="preserve"> </w:t>
            </w:r>
            <w:r w:rsidRPr="00E823E8">
              <w:rPr>
                <w:rFonts w:ascii="Times New Roman" w:hAnsi="Times New Roman" w:cs="Times New Roman"/>
                <w:i/>
                <w:sz w:val="24"/>
                <w:szCs w:val="24"/>
              </w:rPr>
              <w:t>По този начин ще се гарантира спазването на принципа на равнопоставеност на превозвачите, залегнал при първоначалното разпределение на разрешителните.</w:t>
            </w:r>
          </w:p>
        </w:tc>
        <w:tc>
          <w:tcPr>
            <w:tcW w:w="1559" w:type="dxa"/>
          </w:tcPr>
          <w:p w:rsidR="00982E67" w:rsidRDefault="006A5503" w:rsidP="00890D37">
            <w:pPr>
              <w:jc w:val="both"/>
              <w:rPr>
                <w:rFonts w:ascii="Times New Roman" w:hAnsi="Times New Roman" w:cs="Times New Roman"/>
                <w:sz w:val="24"/>
                <w:szCs w:val="24"/>
              </w:rPr>
            </w:pPr>
            <w:r>
              <w:rPr>
                <w:rFonts w:ascii="Times New Roman" w:hAnsi="Times New Roman" w:cs="Times New Roman"/>
                <w:sz w:val="24"/>
                <w:szCs w:val="24"/>
              </w:rPr>
              <w:lastRenderedPageBreak/>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7C3B45" w:rsidRDefault="007C3B45"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6A5503" w:rsidRDefault="00C47D2B" w:rsidP="00890D37">
            <w:pPr>
              <w:jc w:val="both"/>
              <w:rPr>
                <w:rFonts w:ascii="Times New Roman" w:hAnsi="Times New Roman" w:cs="Times New Roman"/>
                <w:sz w:val="24"/>
                <w:szCs w:val="24"/>
              </w:rPr>
            </w:pPr>
            <w:r>
              <w:rPr>
                <w:rFonts w:ascii="Times New Roman" w:hAnsi="Times New Roman" w:cs="Times New Roman"/>
                <w:sz w:val="24"/>
                <w:szCs w:val="24"/>
              </w:rPr>
              <w:t>П</w:t>
            </w:r>
            <w:r w:rsidR="006A5503">
              <w:rPr>
                <w:rFonts w:ascii="Times New Roman" w:hAnsi="Times New Roman" w:cs="Times New Roman"/>
                <w:sz w:val="24"/>
                <w:szCs w:val="24"/>
              </w:rPr>
              <w:t>риема</w:t>
            </w:r>
            <w:r>
              <w:rPr>
                <w:rFonts w:ascii="Times New Roman" w:hAnsi="Times New Roman" w:cs="Times New Roman"/>
                <w:sz w:val="24"/>
                <w:szCs w:val="24"/>
              </w:rPr>
              <w:t xml:space="preserve"> се частично</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88203D" w:rsidRDefault="00890D37" w:rsidP="0088203D">
            <w:pPr>
              <w:jc w:val="both"/>
              <w:rPr>
                <w:rFonts w:ascii="Times New Roman" w:hAnsi="Times New Roman" w:cs="Times New Roman"/>
                <w:sz w:val="24"/>
                <w:szCs w:val="24"/>
              </w:rPr>
            </w:pPr>
            <w:r>
              <w:rPr>
                <w:rFonts w:ascii="Times New Roman" w:hAnsi="Times New Roman" w:cs="Times New Roman"/>
                <w:sz w:val="24"/>
                <w:szCs w:val="24"/>
              </w:rPr>
              <w:t>П</w:t>
            </w:r>
            <w:r w:rsidR="006A5503">
              <w:rPr>
                <w:rFonts w:ascii="Times New Roman" w:hAnsi="Times New Roman" w:cs="Times New Roman"/>
                <w:sz w:val="24"/>
                <w:szCs w:val="24"/>
              </w:rPr>
              <w:t>риема</w:t>
            </w:r>
            <w:r>
              <w:rPr>
                <w:rFonts w:ascii="Times New Roman" w:hAnsi="Times New Roman" w:cs="Times New Roman"/>
                <w:sz w:val="24"/>
                <w:szCs w:val="24"/>
              </w:rPr>
              <w:t xml:space="preserve"> се частично</w:t>
            </w:r>
            <w:r w:rsidR="0088203D" w:rsidRPr="00890D37">
              <w:rPr>
                <w:rFonts w:ascii="Times New Roman" w:hAnsi="Times New Roman" w:cs="Times New Roman"/>
                <w:sz w:val="24"/>
                <w:szCs w:val="24"/>
              </w:rPr>
              <w:t xml:space="preserve"> </w:t>
            </w:r>
            <w:r w:rsidR="0088203D">
              <w:rPr>
                <w:rFonts w:ascii="Times New Roman" w:hAnsi="Times New Roman" w:cs="Times New Roman"/>
                <w:sz w:val="24"/>
                <w:szCs w:val="24"/>
              </w:rPr>
              <w:t>-няма да се спира достъпът</w:t>
            </w:r>
            <w:r w:rsidR="0088203D" w:rsidRPr="00890D37">
              <w:rPr>
                <w:rFonts w:ascii="Times New Roman" w:hAnsi="Times New Roman" w:cs="Times New Roman"/>
                <w:sz w:val="24"/>
                <w:szCs w:val="24"/>
              </w:rPr>
              <w:t xml:space="preserve"> до информационната система на ИААА</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890D37" w:rsidP="00890D3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Не се приема </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2625D1" w:rsidRDefault="002625D1" w:rsidP="00890D37">
            <w:pPr>
              <w:jc w:val="both"/>
              <w:rPr>
                <w:rFonts w:ascii="Times New Roman" w:hAnsi="Times New Roman" w:cs="Times New Roman"/>
                <w:sz w:val="24"/>
                <w:szCs w:val="24"/>
              </w:rPr>
            </w:pPr>
          </w:p>
          <w:p w:rsidR="006A5503" w:rsidRDefault="00890D37"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7C3B45" w:rsidRDefault="007C3B45" w:rsidP="00890D37">
            <w:pPr>
              <w:jc w:val="both"/>
              <w:rPr>
                <w:rFonts w:ascii="Times New Roman" w:hAnsi="Times New Roman" w:cs="Times New Roman"/>
                <w:sz w:val="24"/>
                <w:szCs w:val="24"/>
              </w:rPr>
            </w:pPr>
          </w:p>
          <w:p w:rsidR="007C3B45" w:rsidRDefault="007C3B45"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r>
              <w:rPr>
                <w:rFonts w:ascii="Times New Roman" w:hAnsi="Times New Roman" w:cs="Times New Roman"/>
                <w:sz w:val="24"/>
                <w:szCs w:val="24"/>
              </w:rPr>
              <w:t>Приема се</w:t>
            </w: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Default="006A5503" w:rsidP="00890D37">
            <w:pPr>
              <w:jc w:val="both"/>
              <w:rPr>
                <w:rFonts w:ascii="Times New Roman" w:hAnsi="Times New Roman" w:cs="Times New Roman"/>
                <w:sz w:val="24"/>
                <w:szCs w:val="24"/>
              </w:rPr>
            </w:pPr>
          </w:p>
          <w:p w:rsidR="006A5503" w:rsidRPr="008154C3" w:rsidRDefault="006A5503" w:rsidP="00890D37">
            <w:pPr>
              <w:jc w:val="both"/>
              <w:rPr>
                <w:rFonts w:ascii="Times New Roman" w:hAnsi="Times New Roman" w:cs="Times New Roman"/>
                <w:sz w:val="24"/>
                <w:szCs w:val="24"/>
              </w:rPr>
            </w:pPr>
          </w:p>
        </w:tc>
        <w:tc>
          <w:tcPr>
            <w:tcW w:w="2841" w:type="dxa"/>
          </w:tcPr>
          <w:p w:rsidR="00982E67" w:rsidRDefault="00982E6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890D37" w:rsidRDefault="00890D37"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88203D" w:rsidRDefault="0088203D" w:rsidP="00890D37">
            <w:pPr>
              <w:jc w:val="both"/>
              <w:rPr>
                <w:rFonts w:ascii="Times New Roman" w:hAnsi="Times New Roman" w:cs="Times New Roman"/>
                <w:sz w:val="24"/>
                <w:szCs w:val="24"/>
              </w:rPr>
            </w:pPr>
          </w:p>
          <w:p w:rsidR="00C47D2B" w:rsidRDefault="00C47D2B" w:rsidP="00890D3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чл. 32, ал. 12, т. 9 от Наредба № 11 за международен автомобилен превоз на пътници и товари е предвидено да се отнема разрешителното, когато </w:t>
            </w:r>
            <w:r>
              <w:t xml:space="preserve"> </w:t>
            </w:r>
            <w:r w:rsidRPr="00C47D2B">
              <w:rPr>
                <w:rFonts w:ascii="Times New Roman" w:hAnsi="Times New Roman" w:cs="Times New Roman"/>
                <w:sz w:val="24"/>
                <w:szCs w:val="24"/>
              </w:rPr>
              <w:t>не е предоставяна всеки месец от годината изискуемата справка-от</w:t>
            </w:r>
            <w:r>
              <w:rPr>
                <w:rFonts w:ascii="Times New Roman" w:hAnsi="Times New Roman" w:cs="Times New Roman"/>
                <w:sz w:val="24"/>
                <w:szCs w:val="24"/>
              </w:rPr>
              <w:t>чет съгласно заповедта.</w:t>
            </w:r>
          </w:p>
          <w:p w:rsidR="00C47D2B" w:rsidRPr="008154C3" w:rsidRDefault="00C47D2B" w:rsidP="00890D37">
            <w:pPr>
              <w:jc w:val="both"/>
              <w:rPr>
                <w:rFonts w:ascii="Times New Roman" w:hAnsi="Times New Roman" w:cs="Times New Roman"/>
                <w:sz w:val="24"/>
                <w:szCs w:val="24"/>
              </w:rPr>
            </w:pPr>
          </w:p>
        </w:tc>
      </w:tr>
    </w:tbl>
    <w:p w:rsidR="00F24A91" w:rsidRPr="008154C3" w:rsidRDefault="00E57108" w:rsidP="008154C3">
      <w:pPr>
        <w:jc w:val="both"/>
        <w:rPr>
          <w:rFonts w:ascii="Times New Roman" w:hAnsi="Times New Roman" w:cs="Times New Roman"/>
          <w:sz w:val="24"/>
          <w:szCs w:val="24"/>
        </w:rPr>
      </w:pPr>
    </w:p>
    <w:sectPr w:rsidR="00F24A91" w:rsidRPr="008154C3" w:rsidSect="005E6D9F">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08" w:rsidRDefault="00E57108" w:rsidP="005E6D9F">
      <w:pPr>
        <w:spacing w:after="0" w:line="240" w:lineRule="auto"/>
      </w:pPr>
      <w:r>
        <w:separator/>
      </w:r>
    </w:p>
  </w:endnote>
  <w:endnote w:type="continuationSeparator" w:id="0">
    <w:p w:rsidR="00E57108" w:rsidRDefault="00E57108" w:rsidP="005E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67619"/>
      <w:docPartObj>
        <w:docPartGallery w:val="Page Numbers (Bottom of Page)"/>
        <w:docPartUnique/>
      </w:docPartObj>
    </w:sdtPr>
    <w:sdtEndPr>
      <w:rPr>
        <w:noProof/>
      </w:rPr>
    </w:sdtEndPr>
    <w:sdtContent>
      <w:p w:rsidR="005E6D9F" w:rsidRDefault="005E6D9F">
        <w:pPr>
          <w:pStyle w:val="Footer"/>
          <w:jc w:val="right"/>
        </w:pPr>
        <w:r>
          <w:fldChar w:fldCharType="begin"/>
        </w:r>
        <w:r>
          <w:instrText xml:space="preserve"> PAGE   \* MERGEFORMAT </w:instrText>
        </w:r>
        <w:r>
          <w:fldChar w:fldCharType="separate"/>
        </w:r>
        <w:r w:rsidR="0088203D">
          <w:rPr>
            <w:noProof/>
          </w:rPr>
          <w:t>10</w:t>
        </w:r>
        <w:r>
          <w:rPr>
            <w:noProof/>
          </w:rPr>
          <w:fldChar w:fldCharType="end"/>
        </w:r>
      </w:p>
    </w:sdtContent>
  </w:sdt>
  <w:p w:rsidR="005E6D9F" w:rsidRDefault="005E6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08" w:rsidRDefault="00E57108" w:rsidP="005E6D9F">
      <w:pPr>
        <w:spacing w:after="0" w:line="240" w:lineRule="auto"/>
      </w:pPr>
      <w:r>
        <w:separator/>
      </w:r>
    </w:p>
  </w:footnote>
  <w:footnote w:type="continuationSeparator" w:id="0">
    <w:p w:rsidR="00E57108" w:rsidRDefault="00E57108" w:rsidP="005E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19" w:rsidRPr="00CC4B19" w:rsidRDefault="00CC4B19" w:rsidP="00CC4B19">
    <w:pPr>
      <w:pStyle w:val="Header"/>
      <w:jc w:val="center"/>
      <w:rPr>
        <w:rFonts w:ascii="Times New Roman" w:hAnsi="Times New Roman" w:cs="Times New Roman"/>
        <w:b/>
        <w:sz w:val="24"/>
        <w:szCs w:val="24"/>
      </w:rPr>
    </w:pPr>
    <w:r w:rsidRPr="00CC4B19">
      <w:rPr>
        <w:rFonts w:ascii="Times New Roman" w:hAnsi="Times New Roman" w:cs="Times New Roman"/>
        <w:b/>
        <w:sz w:val="24"/>
        <w:szCs w:val="24"/>
      </w:rPr>
      <w:t xml:space="preserve">СПРАВКА </w:t>
    </w:r>
  </w:p>
  <w:p w:rsidR="00CC4B19" w:rsidRPr="00CC4B19" w:rsidRDefault="00CC4B19" w:rsidP="00CC4B19">
    <w:pPr>
      <w:pStyle w:val="Header"/>
      <w:jc w:val="center"/>
      <w:rPr>
        <w:rFonts w:ascii="Times New Roman" w:hAnsi="Times New Roman" w:cs="Times New Roman"/>
        <w:b/>
        <w:sz w:val="24"/>
        <w:szCs w:val="24"/>
      </w:rPr>
    </w:pPr>
    <w:r w:rsidRPr="00CC4B19">
      <w:rPr>
        <w:rFonts w:ascii="Times New Roman" w:hAnsi="Times New Roman" w:cs="Times New Roman"/>
        <w:b/>
        <w:sz w:val="24"/>
        <w:szCs w:val="24"/>
      </w:rPr>
      <w:t xml:space="preserve">на постъпилите </w:t>
    </w:r>
    <w:r w:rsidR="00E9581A">
      <w:rPr>
        <w:rFonts w:ascii="Times New Roman" w:hAnsi="Times New Roman" w:cs="Times New Roman"/>
        <w:b/>
        <w:sz w:val="24"/>
        <w:szCs w:val="24"/>
      </w:rPr>
      <w:t>предложения</w:t>
    </w:r>
    <w:r w:rsidRPr="00CC4B19">
      <w:rPr>
        <w:rFonts w:ascii="Times New Roman" w:hAnsi="Times New Roman" w:cs="Times New Roman"/>
        <w:b/>
        <w:sz w:val="24"/>
        <w:szCs w:val="24"/>
      </w:rPr>
      <w:t xml:space="preserve"> към проекта на Заповед за разпределението и контрола при използването и отчитането на многостранните ЕКМТ/СЕМТ разрешителни за 2019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274F4"/>
    <w:multiLevelType w:val="hybridMultilevel"/>
    <w:tmpl w:val="739CB310"/>
    <w:lvl w:ilvl="0" w:tplc="5E649F3E">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D0F771F"/>
    <w:multiLevelType w:val="hybridMultilevel"/>
    <w:tmpl w:val="64CA04FC"/>
    <w:lvl w:ilvl="0" w:tplc="2002443E">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F9"/>
    <w:rsid w:val="00021CA0"/>
    <w:rsid w:val="00050305"/>
    <w:rsid w:val="00057A3B"/>
    <w:rsid w:val="000C20FC"/>
    <w:rsid w:val="000D5DE7"/>
    <w:rsid w:val="000D79CF"/>
    <w:rsid w:val="000E352E"/>
    <w:rsid w:val="000E6453"/>
    <w:rsid w:val="0013352E"/>
    <w:rsid w:val="0015238C"/>
    <w:rsid w:val="001A3980"/>
    <w:rsid w:val="001D661F"/>
    <w:rsid w:val="001F19F4"/>
    <w:rsid w:val="001F29BB"/>
    <w:rsid w:val="001F2F65"/>
    <w:rsid w:val="002036B2"/>
    <w:rsid w:val="00214435"/>
    <w:rsid w:val="00214931"/>
    <w:rsid w:val="00216F9B"/>
    <w:rsid w:val="002303AE"/>
    <w:rsid w:val="002339BA"/>
    <w:rsid w:val="00244115"/>
    <w:rsid w:val="0026034E"/>
    <w:rsid w:val="002625D1"/>
    <w:rsid w:val="00263709"/>
    <w:rsid w:val="002729C6"/>
    <w:rsid w:val="002E130D"/>
    <w:rsid w:val="00325D21"/>
    <w:rsid w:val="003A62E5"/>
    <w:rsid w:val="00403631"/>
    <w:rsid w:val="004757DF"/>
    <w:rsid w:val="00486A87"/>
    <w:rsid w:val="004A14E4"/>
    <w:rsid w:val="004A3656"/>
    <w:rsid w:val="004F1F28"/>
    <w:rsid w:val="0050098A"/>
    <w:rsid w:val="005139E7"/>
    <w:rsid w:val="00550BAF"/>
    <w:rsid w:val="0059136A"/>
    <w:rsid w:val="005E6D9F"/>
    <w:rsid w:val="005F71FD"/>
    <w:rsid w:val="006410EB"/>
    <w:rsid w:val="0065473C"/>
    <w:rsid w:val="006A42A5"/>
    <w:rsid w:val="006A5503"/>
    <w:rsid w:val="006D5512"/>
    <w:rsid w:val="006E07D8"/>
    <w:rsid w:val="006F372B"/>
    <w:rsid w:val="0070061D"/>
    <w:rsid w:val="00721E4E"/>
    <w:rsid w:val="00756A8E"/>
    <w:rsid w:val="007A1579"/>
    <w:rsid w:val="007A1727"/>
    <w:rsid w:val="007A7832"/>
    <w:rsid w:val="007C3B45"/>
    <w:rsid w:val="00811E70"/>
    <w:rsid w:val="00814BCE"/>
    <w:rsid w:val="008154C3"/>
    <w:rsid w:val="00823223"/>
    <w:rsid w:val="008405F0"/>
    <w:rsid w:val="0088203D"/>
    <w:rsid w:val="0088314E"/>
    <w:rsid w:val="00890D37"/>
    <w:rsid w:val="008A57A4"/>
    <w:rsid w:val="008B5519"/>
    <w:rsid w:val="008E2B4C"/>
    <w:rsid w:val="00914190"/>
    <w:rsid w:val="00944167"/>
    <w:rsid w:val="009753B6"/>
    <w:rsid w:val="00982E67"/>
    <w:rsid w:val="009B493C"/>
    <w:rsid w:val="00A0390A"/>
    <w:rsid w:val="00A858E3"/>
    <w:rsid w:val="00AB42BF"/>
    <w:rsid w:val="00AC6617"/>
    <w:rsid w:val="00AD0EF6"/>
    <w:rsid w:val="00B12D4B"/>
    <w:rsid w:val="00B630F8"/>
    <w:rsid w:val="00B716E5"/>
    <w:rsid w:val="00B82BCD"/>
    <w:rsid w:val="00BD2F1A"/>
    <w:rsid w:val="00BE5F8A"/>
    <w:rsid w:val="00C12F7E"/>
    <w:rsid w:val="00C23550"/>
    <w:rsid w:val="00C47D2B"/>
    <w:rsid w:val="00C6297F"/>
    <w:rsid w:val="00C9737A"/>
    <w:rsid w:val="00CC4B19"/>
    <w:rsid w:val="00CE074B"/>
    <w:rsid w:val="00CE459E"/>
    <w:rsid w:val="00CF0350"/>
    <w:rsid w:val="00D2229B"/>
    <w:rsid w:val="00D26C09"/>
    <w:rsid w:val="00D62A51"/>
    <w:rsid w:val="00D720E9"/>
    <w:rsid w:val="00D7670F"/>
    <w:rsid w:val="00DF4BDF"/>
    <w:rsid w:val="00E23CD3"/>
    <w:rsid w:val="00E4450F"/>
    <w:rsid w:val="00E57108"/>
    <w:rsid w:val="00E823E8"/>
    <w:rsid w:val="00E9327C"/>
    <w:rsid w:val="00E9581A"/>
    <w:rsid w:val="00EE4B4A"/>
    <w:rsid w:val="00F17257"/>
    <w:rsid w:val="00F562AE"/>
    <w:rsid w:val="00F952A2"/>
    <w:rsid w:val="00FC78F9"/>
    <w:rsid w:val="00FE76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A2215-2563-4DBE-9BC9-1B41909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4C3"/>
    <w:pPr>
      <w:ind w:left="720"/>
      <w:contextualSpacing/>
    </w:pPr>
  </w:style>
  <w:style w:type="paragraph" w:styleId="BalloonText">
    <w:name w:val="Balloon Text"/>
    <w:basedOn w:val="Normal"/>
    <w:link w:val="BalloonTextChar"/>
    <w:uiPriority w:val="99"/>
    <w:semiHidden/>
    <w:unhideWhenUsed/>
    <w:rsid w:val="00272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C6"/>
    <w:rPr>
      <w:rFonts w:ascii="Tahoma" w:hAnsi="Tahoma" w:cs="Tahoma"/>
      <w:sz w:val="16"/>
      <w:szCs w:val="16"/>
    </w:rPr>
  </w:style>
  <w:style w:type="paragraph" w:styleId="Header">
    <w:name w:val="header"/>
    <w:basedOn w:val="Normal"/>
    <w:link w:val="HeaderChar"/>
    <w:uiPriority w:val="99"/>
    <w:unhideWhenUsed/>
    <w:rsid w:val="005E6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D9F"/>
  </w:style>
  <w:style w:type="paragraph" w:styleId="Footer">
    <w:name w:val="footer"/>
    <w:basedOn w:val="Normal"/>
    <w:link w:val="FooterChar"/>
    <w:uiPriority w:val="99"/>
    <w:unhideWhenUsed/>
    <w:rsid w:val="005E6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D9F"/>
  </w:style>
  <w:style w:type="paragraph" w:styleId="Title">
    <w:name w:val="Title"/>
    <w:basedOn w:val="Normal"/>
    <w:link w:val="TitleChar"/>
    <w:qFormat/>
    <w:rsid w:val="00CC4B19"/>
    <w:pPr>
      <w:spacing w:after="0" w:line="240" w:lineRule="auto"/>
      <w:jc w:val="center"/>
    </w:pPr>
    <w:rPr>
      <w:rFonts w:ascii="Times New Roman" w:eastAsia="Times New Roman" w:hAnsi="Times New Roman" w:cs="Times New Roman"/>
      <w:sz w:val="24"/>
      <w:szCs w:val="20"/>
      <w:lang w:val="en-AU"/>
    </w:rPr>
  </w:style>
  <w:style w:type="character" w:customStyle="1" w:styleId="TitleChar">
    <w:name w:val="Title Char"/>
    <w:basedOn w:val="DefaultParagraphFont"/>
    <w:link w:val="Title"/>
    <w:rsid w:val="00CC4B19"/>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F179-DA89-4B62-B514-BDAEDF7D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2485</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Stajanti</dc:creator>
  <cp:lastModifiedBy>Tsvetelina Ilieva-Yordanova</cp:lastModifiedBy>
  <cp:revision>38</cp:revision>
  <cp:lastPrinted>2018-11-16T08:24:00Z</cp:lastPrinted>
  <dcterms:created xsi:type="dcterms:W3CDTF">2018-11-29T14:37:00Z</dcterms:created>
  <dcterms:modified xsi:type="dcterms:W3CDTF">2018-11-30T07:58:00Z</dcterms:modified>
</cp:coreProperties>
</file>