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E5" w:rsidRDefault="00AB323E">
      <w:pPr>
        <w:pStyle w:val="20"/>
        <w:framePr w:w="9269" w:h="864" w:hRule="exact" w:wrap="none" w:vAnchor="page" w:hAnchor="page" w:x="1345" w:y="2065"/>
        <w:shd w:val="clear" w:color="auto" w:fill="auto"/>
        <w:spacing w:after="0"/>
        <w:ind w:left="20"/>
      </w:pPr>
      <w:r w:rsidRPr="00AB323E">
        <w:rPr>
          <w:rStyle w:val="28pt1pt"/>
          <w:b/>
          <w:bCs/>
          <w:sz w:val="24"/>
          <w:szCs w:val="24"/>
        </w:rPr>
        <w:t>РЕПУБЛИКА БЪЛГАРИЯ</w:t>
      </w:r>
      <w:r w:rsidR="00254256">
        <w:rPr>
          <w:rStyle w:val="28pt1pt"/>
          <w:b/>
          <w:bCs/>
        </w:rPr>
        <w:t xml:space="preserve"> </w:t>
      </w:r>
      <w:r w:rsidR="00254256">
        <w:rPr>
          <w:rStyle w:val="22pt"/>
          <w:b/>
          <w:bCs/>
        </w:rPr>
        <w:t>АДМИНИСТРАЦИЯ НА МИНИСТЕРСКИЯ СЪВЕТ</w:t>
      </w:r>
    </w:p>
    <w:p w:rsidR="000943E5" w:rsidRDefault="00254256">
      <w:pPr>
        <w:pStyle w:val="20"/>
        <w:framePr w:w="9269" w:h="10459" w:hRule="exact" w:wrap="none" w:vAnchor="page" w:hAnchor="page" w:x="1345" w:y="4366"/>
        <w:shd w:val="clear" w:color="auto" w:fill="auto"/>
        <w:spacing w:after="172" w:line="542" w:lineRule="exact"/>
        <w:ind w:left="20"/>
      </w:pPr>
      <w:r>
        <w:t>СТАНОВИЩЕ на дирекция „Модернизация на администрацията“</w:t>
      </w:r>
    </w:p>
    <w:p w:rsidR="000943E5" w:rsidRDefault="00254256">
      <w:pPr>
        <w:pStyle w:val="a0"/>
        <w:framePr w:w="9269" w:h="10459" w:hRule="exact" w:wrap="none" w:vAnchor="page" w:hAnchor="page" w:x="1345" w:y="4366"/>
        <w:shd w:val="clear" w:color="auto" w:fill="auto"/>
        <w:spacing w:before="0"/>
        <w:ind w:left="20" w:right="20"/>
      </w:pPr>
      <w:r>
        <w:t xml:space="preserve">Във връзка с постъпилата за съгласуване с </w:t>
      </w:r>
      <w:r>
        <w:rPr>
          <w:rStyle w:val="0pt"/>
        </w:rPr>
        <w:t xml:space="preserve">Ваш </w:t>
      </w:r>
      <w:r>
        <w:rPr>
          <w:rStyle w:val="0pt"/>
          <w:lang w:val="en-US"/>
        </w:rPr>
        <w:t xml:space="preserve">per. </w:t>
      </w:r>
      <w:r>
        <w:rPr>
          <w:rStyle w:val="0pt"/>
        </w:rPr>
        <w:t xml:space="preserve">№ 03-00-50 от 23 януари 2019 г. </w:t>
      </w:r>
      <w:r>
        <w:t>цялостна предварителна оценка на въздействието на проекта на Закон за държавните предприятия „Транспортно строителство и възстановяване“ и „Съобщително строителство и възстановяване“, на основание чл. ЗОв, ал. 2 и ал. 3, т. 2 от Устройствения правилник на Министерския съвет и на неговата администрация, дирекция „Модернизация на администрацията“ прави следните препоръки относно представянето на информацията в доклада и резюмето по чл. 22 от Наредбата за обхвата и методологията за извършване на оценка на въздействието (НОМИОВ):</w:t>
      </w:r>
    </w:p>
    <w:p w:rsidR="000943E5" w:rsidRDefault="00254256">
      <w:pPr>
        <w:pStyle w:val="a0"/>
        <w:framePr w:w="9269" w:h="10459" w:hRule="exact" w:wrap="none" w:vAnchor="page" w:hAnchor="page" w:x="1345" w:y="4366"/>
        <w:numPr>
          <w:ilvl w:val="0"/>
          <w:numId w:val="1"/>
        </w:numPr>
        <w:shd w:val="clear" w:color="auto" w:fill="auto"/>
        <w:tabs>
          <w:tab w:val="left" w:pos="970"/>
        </w:tabs>
        <w:spacing w:before="0"/>
        <w:ind w:left="20" w:right="20"/>
      </w:pPr>
      <w:r>
        <w:t xml:space="preserve">Предлагаме в т. </w:t>
      </w:r>
      <w:r>
        <w:rPr>
          <w:lang w:val="en-US"/>
        </w:rPr>
        <w:t xml:space="preserve">V.3. </w:t>
      </w:r>
      <w:r>
        <w:t>от доклада при представянето на Вариант 2 да се включи кратко описание на предвидената структура и предмет на новия закон, как със закона ще се осигури стабилизиране на статута на държавните предприятия, какъв е новият метод за компенсиране на разходите при изпълнение на възложените публични задачи, отчетност и контрол на разходваните средства, на база изложеното в другите точки от доклада. В случай че се създават регистри, въвеждат се такси, предвижда се налагане на административни наказания - това също следва да се посочи и при представянето на Вариант 2.</w:t>
      </w:r>
    </w:p>
    <w:p w:rsidR="000943E5" w:rsidRDefault="00254256">
      <w:pPr>
        <w:pStyle w:val="a0"/>
        <w:framePr w:w="9269" w:h="10459" w:hRule="exact" w:wrap="none" w:vAnchor="page" w:hAnchor="page" w:x="1345" w:y="4366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199"/>
        <w:ind w:left="20" w:right="20"/>
      </w:pPr>
      <w:r>
        <w:t>Съгласно чл. 24, ал. 1 от НОМИОВ провеждането на консултации със заинтересованите страни е задължителна част от извършването на цялостна предварителна оценка на въздействието и предшества обществените консултации по реда на чл. 26 от Закона за нормативните актове. Консултациите могат да се провеждат под различна форма, като съгласно чл. 24, ал. 3 от НОМИОВ резултатите от консултациите се включват в справка за приетите предложения заедно с обосновка на неприетите предложения. Видно от</w:t>
      </w:r>
    </w:p>
    <w:p w:rsidR="000943E5" w:rsidRDefault="00254256">
      <w:pPr>
        <w:pStyle w:val="30"/>
        <w:framePr w:w="9269" w:h="10459" w:hRule="exact" w:wrap="none" w:vAnchor="page" w:hAnchor="page" w:x="1345" w:y="4366"/>
        <w:shd w:val="clear" w:color="auto" w:fill="auto"/>
        <w:spacing w:before="0" w:after="0" w:line="230" w:lineRule="exact"/>
        <w:ind w:right="20"/>
      </w:pPr>
      <w:r>
        <w:t>1</w:t>
      </w:r>
    </w:p>
    <w:p w:rsidR="000943E5" w:rsidRDefault="00254256">
      <w:pPr>
        <w:pStyle w:val="40"/>
        <w:framePr w:w="9269" w:h="448" w:hRule="exact" w:wrap="none" w:vAnchor="page" w:hAnchor="page" w:x="1345" w:y="14674"/>
        <w:shd w:val="clear" w:color="auto" w:fill="auto"/>
        <w:spacing w:before="0" w:line="390" w:lineRule="exact"/>
        <w:ind w:left="20"/>
      </w:pPr>
      <w:r>
        <w:t>София</w:t>
      </w:r>
      <w:r>
        <w:rPr>
          <w:rStyle w:val="4Arial195pt0pt"/>
        </w:rPr>
        <w:t xml:space="preserve">, </w:t>
      </w:r>
      <w:r>
        <w:t>бул. „Дондуков“№ I, тел. централа: 02/940-29-99, факс: 02/981-81-70</w:t>
      </w:r>
    </w:p>
    <w:p w:rsidR="000943E5" w:rsidRDefault="000943E5">
      <w:pPr>
        <w:rPr>
          <w:sz w:val="2"/>
          <w:szCs w:val="2"/>
        </w:rPr>
        <w:sectPr w:rsidR="000943E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943E5" w:rsidRDefault="00254256">
      <w:pPr>
        <w:pStyle w:val="a0"/>
        <w:framePr w:w="9269" w:h="10256" w:hRule="exact" w:wrap="none" w:vAnchor="page" w:hAnchor="page" w:x="1297" w:y="1167"/>
        <w:shd w:val="clear" w:color="auto" w:fill="auto"/>
        <w:spacing w:before="0" w:line="408" w:lineRule="exact"/>
        <w:ind w:left="20" w:right="20" w:firstLine="0"/>
      </w:pPr>
      <w:r>
        <w:lastRenderedPageBreak/>
        <w:t>изложеното в целия доклад, предварителни консултации със заинтересованите и засегнатите</w:t>
      </w:r>
      <w:r>
        <w:br/>
        <w:t>страни относно вариантите за решаване на проблемите и необходимостта от приемане на нов</w:t>
      </w:r>
      <w:r>
        <w:br/>
        <w:t>закон са извършени под формата на обсъждания, представяне на становища и анализи на</w:t>
      </w:r>
      <w:r>
        <w:br/>
        <w:t>работни групи и т.н. Изводите са, че приемането на нов закон е необходимо. Във връзка с</w:t>
      </w:r>
      <w:r>
        <w:br/>
        <w:t>това и за да е ясно, че са спазени всички нормативни изисквания при извършване на</w:t>
      </w:r>
      <w:r>
        <w:br/>
        <w:t>оценката, предлагаме в т. XI. от доклада („Обобщение на резултатите от проведените</w:t>
      </w:r>
      <w:r>
        <w:br/>
        <w:t>предварителни консултации“) и в резюмето (поле 3 „Проведени консултации“ от</w:t>
      </w:r>
      <w:r>
        <w:br/>
        <w:t>Приложение № 2 към чл. 22, ал. 1 от НОМИОВ) да се включи информацията от т. XII от</w:t>
      </w:r>
      <w:r>
        <w:br/>
        <w:t>доклада относно проведените обсъждания със заинтересованите страни, като част от</w:t>
      </w:r>
      <w:r>
        <w:br/>
        <w:t>предварителните консултации. В т. XI от доклада и в резюмето следва да се включи и кратка</w:t>
      </w:r>
      <w:r>
        <w:br/>
        <w:t>информация (справка) относно получени предложения в хода на обсъжданията, както и дали</w:t>
      </w:r>
      <w:r>
        <w:br/>
        <w:t>тези предложения ще бъдат взети предвид при изготвяне на проекта на закон.</w:t>
      </w:r>
    </w:p>
    <w:p w:rsidR="000943E5" w:rsidRDefault="00254256">
      <w:pPr>
        <w:pStyle w:val="a0"/>
        <w:framePr w:w="9269" w:h="10256" w:hRule="exact" w:wrap="none" w:vAnchor="page" w:hAnchor="page" w:x="1297" w:y="1167"/>
        <w:shd w:val="clear" w:color="auto" w:fill="auto"/>
        <w:spacing w:before="0" w:line="408" w:lineRule="exact"/>
        <w:ind w:left="20" w:right="20"/>
      </w:pPr>
      <w:r>
        <w:t>3. Предлагаме в резюмето в поле 4 „Привеждане в действие и изпълнение“ да се</w:t>
      </w:r>
      <w:r>
        <w:br/>
        <w:t>допълни прогнозен срок за влизане в сила на новата уредба.</w:t>
      </w:r>
    </w:p>
    <w:p w:rsidR="000943E5" w:rsidRDefault="00254256">
      <w:pPr>
        <w:pStyle w:val="a0"/>
        <w:framePr w:w="9269" w:h="10256" w:hRule="exact" w:wrap="none" w:vAnchor="page" w:hAnchor="page" w:x="1297" w:y="1167"/>
        <w:shd w:val="clear" w:color="auto" w:fill="auto"/>
        <w:spacing w:before="0" w:line="408" w:lineRule="exact"/>
        <w:ind w:left="20" w:right="20"/>
      </w:pPr>
      <w:r>
        <w:t>Напомняме, че при съгласуването по чл. ЗОв от Устройствения правилник на</w:t>
      </w:r>
      <w:r>
        <w:br/>
        <w:t>Министерския съвет и на неговата администрация не следва да се представя проектът на</w:t>
      </w:r>
      <w:r>
        <w:br/>
        <w:t>нормативен акт.</w:t>
      </w:r>
    </w:p>
    <w:p w:rsidR="000943E5" w:rsidRDefault="00254256">
      <w:pPr>
        <w:pStyle w:val="a0"/>
        <w:framePr w:w="9269" w:h="10256" w:hRule="exact" w:wrap="none" w:vAnchor="page" w:hAnchor="page" w:x="1297" w:y="1167"/>
        <w:shd w:val="clear" w:color="auto" w:fill="auto"/>
        <w:spacing w:before="0" w:after="711" w:line="408" w:lineRule="exact"/>
        <w:ind w:left="20" w:right="20"/>
      </w:pPr>
      <w:r>
        <w:t>Съгласно Устройствения правилник на Министерския съвет и на неговата</w:t>
      </w:r>
      <w:r>
        <w:br/>
        <w:t>администрация преработената оценка на въздействието (резюме и доклад) следва да бъде</w:t>
      </w:r>
      <w:r>
        <w:br/>
        <w:t>изпратена за повторно съгласуване от дирекция „Модернизация на администрацията“.</w:t>
      </w:r>
    </w:p>
    <w:p w:rsidR="000943E5" w:rsidRDefault="00254256">
      <w:pPr>
        <w:pStyle w:val="20"/>
        <w:framePr w:w="9269" w:h="10256" w:hRule="exact" w:wrap="none" w:vAnchor="page" w:hAnchor="page" w:x="1297" w:y="1167"/>
        <w:shd w:val="clear" w:color="auto" w:fill="auto"/>
        <w:spacing w:after="647"/>
        <w:ind w:left="20" w:right="20"/>
        <w:jc w:val="left"/>
      </w:pPr>
      <w:r>
        <w:rPr>
          <w:rStyle w:val="20pt"/>
          <w:b/>
          <w:bCs/>
        </w:rPr>
        <w:t>ДИРЕКТОР НА ДИРЕКЦИЯ</w:t>
      </w:r>
      <w:r>
        <w:rPr>
          <w:rStyle w:val="20pt"/>
          <w:b/>
          <w:bCs/>
        </w:rPr>
        <w:br/>
        <w:t>„МОДЕРНИЗАЦИЯ НА АДМИНИСТРАЦИЯТА“</w:t>
      </w:r>
    </w:p>
    <w:p w:rsidR="000943E5" w:rsidRDefault="00254256">
      <w:pPr>
        <w:pStyle w:val="20"/>
        <w:framePr w:w="9269" w:h="10256" w:hRule="exact" w:wrap="none" w:vAnchor="page" w:hAnchor="page" w:x="1297" w:y="1167"/>
        <w:shd w:val="clear" w:color="auto" w:fill="auto"/>
        <w:spacing w:after="0" w:line="210" w:lineRule="exact"/>
        <w:ind w:left="5320"/>
        <w:jc w:val="left"/>
      </w:pPr>
      <w:r>
        <w:rPr>
          <w:rStyle w:val="20pt"/>
          <w:b/>
          <w:bCs/>
        </w:rPr>
        <w:t>/КРАСИМИР БОЖАНОВ/</w:t>
      </w:r>
    </w:p>
    <w:p w:rsidR="000943E5" w:rsidRDefault="00254256">
      <w:pPr>
        <w:pStyle w:val="40"/>
        <w:framePr w:w="9269" w:h="264" w:hRule="exact" w:wrap="none" w:vAnchor="page" w:hAnchor="page" w:x="1297" w:y="15409"/>
        <w:shd w:val="clear" w:color="auto" w:fill="auto"/>
        <w:spacing w:before="0" w:line="180" w:lineRule="exact"/>
      </w:pPr>
      <w:r>
        <w:rPr>
          <w:rStyle w:val="40pt"/>
          <w:b/>
          <w:bCs/>
          <w:i/>
          <w:iCs/>
        </w:rPr>
        <w:t xml:space="preserve">София, бул. „Дондуков" </w:t>
      </w:r>
      <w:r>
        <w:rPr>
          <w:rStyle w:val="40pt"/>
          <w:b/>
          <w:bCs/>
          <w:i/>
          <w:iCs/>
          <w:lang w:val="en-US"/>
        </w:rPr>
        <w:t xml:space="preserve">Ne </w:t>
      </w:r>
      <w:r>
        <w:rPr>
          <w:rStyle w:val="40pt"/>
          <w:b/>
          <w:bCs/>
          <w:i/>
          <w:iCs/>
        </w:rPr>
        <w:t>I, тел. централа: 02/940-29-99, факс: 02/ 981-81-70</w:t>
      </w:r>
    </w:p>
    <w:p w:rsidR="000943E5" w:rsidRDefault="00254256">
      <w:pPr>
        <w:pStyle w:val="a2"/>
        <w:framePr w:wrap="none" w:vAnchor="page" w:hAnchor="page" w:x="10431" w:y="15154"/>
        <w:shd w:val="clear" w:color="auto" w:fill="auto"/>
        <w:spacing w:line="190" w:lineRule="exact"/>
        <w:ind w:left="20"/>
      </w:pPr>
      <w:r>
        <w:t>2</w:t>
      </w:r>
    </w:p>
    <w:p w:rsidR="000943E5" w:rsidRDefault="000943E5">
      <w:pPr>
        <w:rPr>
          <w:sz w:val="2"/>
          <w:szCs w:val="2"/>
        </w:rPr>
      </w:pPr>
      <w:bookmarkStart w:id="0" w:name="_GoBack"/>
      <w:bookmarkEnd w:id="0"/>
    </w:p>
    <w:sectPr w:rsidR="000943E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9B" w:rsidRDefault="009F719B">
      <w:r>
        <w:separator/>
      </w:r>
    </w:p>
  </w:endnote>
  <w:endnote w:type="continuationSeparator" w:id="0">
    <w:p w:rsidR="009F719B" w:rsidRDefault="009F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9B" w:rsidRDefault="009F719B"/>
  </w:footnote>
  <w:footnote w:type="continuationSeparator" w:id="0">
    <w:p w:rsidR="009F719B" w:rsidRDefault="009F71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85F1E"/>
    <w:multiLevelType w:val="multilevel"/>
    <w:tmpl w:val="8DCAF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943E5"/>
    <w:rsid w:val="000943E5"/>
    <w:rsid w:val="00254256"/>
    <w:rsid w:val="008C6BAF"/>
    <w:rsid w:val="009F719B"/>
    <w:rsid w:val="00AB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8E01"/>
  <w15:docId w15:val="{9E466EE1-1146-4697-B483-2CB187EC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8pt1pt">
    <w:name w:val="Основен текст (2) + 8 pt;Разредка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1"/>
      <w:w w:val="100"/>
      <w:position w:val="0"/>
      <w:sz w:val="16"/>
      <w:szCs w:val="16"/>
      <w:u w:val="none"/>
      <w:lang w:val="bg-BG"/>
    </w:rPr>
  </w:style>
  <w:style w:type="character" w:customStyle="1" w:styleId="22pt">
    <w:name w:val="Основен текст (2) + Разредка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2"/>
      <w:w w:val="100"/>
      <w:position w:val="0"/>
      <w:sz w:val="21"/>
      <w:szCs w:val="21"/>
      <w:u w:val="none"/>
      <w:lang w:val="bg-BG"/>
    </w:rPr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0pt">
    <w:name w:val="Основен текст + Удебелен;Разредка 0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bg-BG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6"/>
      <w:sz w:val="18"/>
      <w:szCs w:val="18"/>
      <w:u w:val="none"/>
    </w:rPr>
  </w:style>
  <w:style w:type="character" w:customStyle="1" w:styleId="4Arial195pt0pt">
    <w:name w:val="Основен текст (4) + Arial;19;5 pt;Не е удебелен;Не е курсив;Разредка 0 pt"/>
    <w:basedOn w:val="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  <w:lang w:val="bg-BG"/>
    </w:rPr>
  </w:style>
  <w:style w:type="character" w:customStyle="1" w:styleId="20pt">
    <w:name w:val="Основен текст (2) + Разредка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40pt">
    <w:name w:val="Основен текст (4) + Разредка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bg-BG"/>
    </w:rPr>
  </w:style>
  <w:style w:type="character" w:customStyle="1" w:styleId="a1">
    <w:name w:val="Горен или долен колонтитул_"/>
    <w:basedOn w:val="DefaultParagraphFont"/>
    <w:link w:val="a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after="1680" w:line="269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0">
    <w:name w:val="Основен текст"/>
    <w:basedOn w:val="Normal"/>
    <w:link w:val="a"/>
    <w:pPr>
      <w:shd w:val="clear" w:color="auto" w:fill="FFFFFF"/>
      <w:spacing w:before="60" w:line="403" w:lineRule="exact"/>
      <w:ind w:firstLine="680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6"/>
      <w:sz w:val="18"/>
      <w:szCs w:val="18"/>
    </w:rPr>
  </w:style>
  <w:style w:type="paragraph" w:customStyle="1" w:styleId="a2">
    <w:name w:val="Горен или долен колонтитул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3049</Characters>
  <Application>Microsoft Office Word</Application>
  <DocSecurity>0</DocSecurity>
  <Lines>25</Lines>
  <Paragraphs>7</Paragraphs>
  <ScaleCrop>false</ScaleCrop>
  <Company>MTITC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Zoia Cvetkova</cp:lastModifiedBy>
  <cp:revision>5</cp:revision>
  <dcterms:created xsi:type="dcterms:W3CDTF">2019-02-15T07:41:00Z</dcterms:created>
  <dcterms:modified xsi:type="dcterms:W3CDTF">2019-02-15T08:17:00Z</dcterms:modified>
</cp:coreProperties>
</file>