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6787" w:h="887" w:hRule="exact" w:wrap="none" w:vAnchor="page" w:hAnchor="page" w:x="2768" w:y="2319"/>
        <w:widowControl w:val="0"/>
        <w:keepNext w:val="0"/>
        <w:keepLines w:val="0"/>
        <w:shd w:val="clear" w:color="auto" w:fill="auto"/>
        <w:bidi w:val="0"/>
        <w:spacing w:before="0" w:after="0"/>
        <w:ind w:left="60" w:right="0" w:firstLine="0"/>
      </w:pPr>
      <w:bookmarkStart w:id="0" w:name="bookmark0"/>
      <w:r>
        <w:rPr>
          <w:rStyle w:val="CharStyle5"/>
          <w:b/>
          <w:bCs/>
        </w:rPr>
        <w:t>Становище на администрацията на Министерския съвет</w:t>
      </w:r>
      <w:bookmarkEnd w:id="0"/>
    </w:p>
    <w:p>
      <w:pPr>
        <w:pStyle w:val="Style6"/>
        <w:framePr w:wrap="none" w:vAnchor="page" w:hAnchor="page" w:x="2768" w:y="3408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60" w:right="0" w:firstLine="0"/>
      </w:pPr>
      <w:r>
        <w:rPr>
          <w:rStyle w:val="CharStyle8"/>
          <w:i/>
          <w:iCs/>
        </w:rPr>
        <w:t>Съгласуването се извършва на основание чл. 21, ал. 5 от Занона за нормативните антове</w:t>
      </w:r>
    </w:p>
    <w:p>
      <w:pPr>
        <w:pStyle w:val="Style9"/>
        <w:framePr w:wrap="none" w:vAnchor="page" w:hAnchor="page" w:x="1251" w:y="3700"/>
        <w:widowControl w:val="0"/>
        <w:keepNext w:val="0"/>
        <w:keepLines w:val="0"/>
        <w:shd w:val="clear" w:color="auto" w:fill="000000"/>
        <w:bidi w:val="0"/>
        <w:jc w:val="left"/>
        <w:spacing w:before="0" w:after="0" w:line="210" w:lineRule="exact"/>
        <w:ind w:left="0" w:right="0" w:firstLine="0"/>
      </w:pPr>
      <w:bookmarkStart w:id="1" w:name="bookmark1"/>
      <w:r>
        <w:rPr>
          <w:rStyle w:val="CharStyle11"/>
          <w:b/>
          <w:bCs/>
        </w:rPr>
        <w:t>Проект на акт:</w:t>
      </w:r>
      <w:bookmarkEnd w:id="1"/>
    </w:p>
    <w:p>
      <w:pPr>
        <w:pStyle w:val="Style12"/>
        <w:framePr w:w="4474" w:h="797" w:hRule="exact" w:wrap="none" w:vAnchor="page" w:hAnchor="page" w:x="1237" w:y="4206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20" w:firstLine="0"/>
      </w:pPr>
      <w:r>
        <w:rPr>
          <w:rStyle w:val="CharStyle14"/>
        </w:rPr>
        <w:t>Проект на Закон за ратифициране на актовете от третия извънреден конгрес на Всемирния пощенски съюз</w:t>
      </w:r>
    </w:p>
    <w:p>
      <w:pPr>
        <w:pStyle w:val="Style9"/>
        <w:framePr w:wrap="none" w:vAnchor="page" w:hAnchor="page" w:x="5850" w:y="3835"/>
        <w:widowControl w:val="0"/>
        <w:keepNext w:val="0"/>
        <w:keepLines w:val="0"/>
        <w:shd w:val="clear" w:color="auto" w:fill="000000"/>
        <w:bidi w:val="0"/>
        <w:jc w:val="left"/>
        <w:spacing w:before="0" w:after="0" w:line="210" w:lineRule="exact"/>
        <w:ind w:left="180" w:right="0" w:firstLine="0"/>
      </w:pPr>
      <w:r>
        <w:rPr>
          <w:rStyle w:val="CharStyle11"/>
          <w:b/>
          <w:bCs/>
        </w:rPr>
        <w:t>Вид оценка:</w:t>
      </w:r>
    </w:p>
    <w:p>
      <w:pPr>
        <w:pStyle w:val="Style9"/>
        <w:framePr w:wrap="none" w:vAnchor="page" w:hAnchor="page" w:x="5850" w:y="4262"/>
        <w:widowControl w:val="0"/>
        <w:keepNext w:val="0"/>
        <w:keepLines w:val="0"/>
        <w:shd w:val="clear" w:color="auto" w:fill="000000"/>
        <w:bidi w:val="0"/>
        <w:jc w:val="left"/>
        <w:spacing w:before="0" w:after="0" w:line="210" w:lineRule="exact"/>
        <w:ind w:left="100" w:right="0" w:firstLine="0"/>
      </w:pPr>
      <w:r>
        <w:rPr>
          <w:rStyle w:val="CharStyle11"/>
          <w:b/>
          <w:bCs/>
        </w:rPr>
        <w:t>Становище по ред:</w:t>
      </w:r>
    </w:p>
    <w:p>
      <w:pPr>
        <w:pStyle w:val="Style9"/>
        <w:framePr w:wrap="none" w:vAnchor="page" w:hAnchor="page" w:x="5912" w:y="4540"/>
        <w:widowControl w:val="0"/>
        <w:keepNext w:val="0"/>
        <w:keepLines w:val="0"/>
        <w:shd w:val="clear" w:color="auto" w:fill="000000"/>
        <w:bidi w:val="0"/>
        <w:jc w:val="both"/>
        <w:spacing w:before="0" w:after="0" w:line="210" w:lineRule="exact"/>
        <w:ind w:left="20" w:right="0" w:firstLine="0"/>
      </w:pPr>
      <w:bookmarkStart w:id="2" w:name="bookmark2"/>
      <w:r>
        <w:rPr>
          <w:rStyle w:val="CharStyle11"/>
          <w:b/>
          <w:bCs/>
        </w:rPr>
        <w:t>Дата:</w:t>
      </w:r>
      <w:bookmarkEnd w:id="2"/>
    </w:p>
    <w:p>
      <w:pPr>
        <w:pStyle w:val="Style9"/>
        <w:framePr w:w="1627" w:h="1387" w:hRule="exact" w:wrap="none" w:vAnchor="page" w:hAnchor="page" w:x="5912" w:y="4461"/>
        <w:widowControl w:val="0"/>
        <w:keepNext w:val="0"/>
        <w:keepLines w:val="0"/>
        <w:shd w:val="clear" w:color="auto" w:fill="000000"/>
        <w:bidi w:val="0"/>
        <w:jc w:val="both"/>
        <w:spacing w:before="0" w:after="0" w:line="658" w:lineRule="exact"/>
        <w:ind w:left="20" w:right="0" w:firstLine="0"/>
      </w:pPr>
      <w:bookmarkStart w:id="3" w:name="bookmark3"/>
      <w:r>
        <w:rPr>
          <w:rStyle w:val="CharStyle15"/>
          <w:b/>
          <w:bCs/>
        </w:rPr>
        <w:t>В отговор на №:</w:t>
      </w:r>
      <w:r>
        <w:rPr>
          <w:rStyle w:val="CharStyle11"/>
          <w:b/>
          <w:bCs/>
        </w:rPr>
        <w:t xml:space="preserve"> Институция:</w:t>
      </w:r>
      <w:bookmarkEnd w:id="3"/>
    </w:p>
    <w:p>
      <w:pPr>
        <w:pStyle w:val="Style12"/>
        <w:framePr w:wrap="none" w:vAnchor="page" w:hAnchor="page" w:x="8010" w:y="386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00" w:right="0" w:firstLine="0"/>
      </w:pPr>
      <w:r>
        <w:rPr>
          <w:rStyle w:val="CharStyle14"/>
        </w:rPr>
        <w:t>Частична</w:t>
      </w:r>
    </w:p>
    <w:p>
      <w:pPr>
        <w:pStyle w:val="Style12"/>
        <w:framePr w:wrap="none" w:vAnchor="page" w:hAnchor="page" w:x="8072" w:y="426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rStyle w:val="CharStyle14"/>
        </w:rPr>
        <w:t>Единствено съгласуване</w:t>
      </w:r>
    </w:p>
    <w:p>
      <w:pPr>
        <w:pStyle w:val="Style12"/>
        <w:framePr w:wrap="none" w:vAnchor="page" w:hAnchor="page" w:x="8072" w:y="455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rStyle w:val="CharStyle14"/>
        </w:rPr>
        <w:t>04.12.2019</w:t>
      </w:r>
    </w:p>
    <w:p>
      <w:pPr>
        <w:pStyle w:val="Style12"/>
        <w:framePr w:w="2458" w:h="1349" w:hRule="exact" w:wrap="none" w:vAnchor="page" w:hAnchor="page" w:x="8072" w:y="4794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20" w:right="120" w:firstLine="0"/>
      </w:pPr>
      <w:r>
        <w:rPr>
          <w:rStyle w:val="CharStyle16"/>
        </w:rPr>
        <w:t>№ 03-00-516/28.11.2019 г.</w:t>
      </w:r>
      <w:r>
        <w:rPr>
          <w:rStyle w:val="CharStyle14"/>
        </w:rPr>
        <w:t xml:space="preserve"> Министерство на транспорта, информационните технологии и съобщенията</w:t>
      </w:r>
    </w:p>
    <w:p>
      <w:pPr>
        <w:pStyle w:val="Style9"/>
        <w:framePr w:wrap="none" w:vAnchor="page" w:hAnchor="page" w:x="1175" w:y="6418"/>
        <w:widowControl w:val="0"/>
        <w:keepNext w:val="0"/>
        <w:keepLines w:val="0"/>
        <w:shd w:val="clear" w:color="auto" w:fill="000000"/>
        <w:bidi w:val="0"/>
        <w:jc w:val="left"/>
        <w:spacing w:before="0" w:after="0" w:line="210" w:lineRule="exact"/>
        <w:ind w:left="80" w:right="0" w:firstLine="0"/>
      </w:pPr>
      <w:r>
        <w:rPr>
          <w:rStyle w:val="CharStyle11"/>
          <w:b/>
          <w:bCs/>
        </w:rPr>
        <w:t>Диспозитив:</w:t>
      </w:r>
    </w:p>
    <w:p>
      <w:pPr>
        <w:pStyle w:val="Style9"/>
        <w:framePr w:wrap="none" w:vAnchor="page" w:hAnchor="page" w:x="1175" w:y="6734"/>
        <w:widowControl w:val="0"/>
        <w:keepNext w:val="0"/>
        <w:keepLines w:val="0"/>
        <w:shd w:val="clear" w:color="auto" w:fill="000000"/>
        <w:bidi w:val="0"/>
        <w:jc w:val="left"/>
        <w:spacing w:before="0" w:after="0" w:line="210" w:lineRule="exact"/>
        <w:ind w:left="100" w:right="0" w:firstLine="0"/>
      </w:pPr>
      <w:r>
        <w:rPr>
          <w:rStyle w:val="CharStyle11"/>
          <w:b/>
          <w:bCs/>
        </w:rPr>
        <w:t>Основание:</w:t>
      </w:r>
    </w:p>
    <w:p>
      <w:pPr>
        <w:pStyle w:val="Style12"/>
        <w:framePr w:wrap="none" w:vAnchor="page" w:hAnchor="page" w:x="2720" w:y="645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4"/>
        </w:rPr>
        <w:t>Съгласува с препоръки</w:t>
      </w:r>
    </w:p>
    <w:p>
      <w:pPr>
        <w:pStyle w:val="Style12"/>
        <w:framePr w:wrap="none" w:vAnchor="page" w:hAnchor="page" w:x="2653" w:y="687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4"/>
        </w:rPr>
        <w:t>Чл. 306, ал. 3, т. 2, б. "а"</w:t>
      </w:r>
    </w:p>
    <w:p>
      <w:pPr>
        <w:pStyle w:val="Style12"/>
        <w:framePr w:w="5491" w:h="537" w:hRule="exact" w:wrap="none" w:vAnchor="page" w:hAnchor="page" w:x="5240" w:y="6721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280" w:firstLine="0"/>
      </w:pPr>
      <w:r>
        <w:rPr>
          <w:rStyle w:val="CharStyle14"/>
        </w:rPr>
        <w:t>от Устройствения правилник на Министерския съвет и на неговата администрация</w:t>
      </w:r>
    </w:p>
    <w:p>
      <w:pPr>
        <w:pStyle w:val="Style12"/>
        <w:framePr w:w="9418" w:h="6303" w:hRule="exact" w:wrap="none" w:vAnchor="page" w:hAnchor="page" w:x="1266" w:y="8006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20" w:right="20" w:firstLine="420"/>
      </w:pPr>
      <w:r>
        <w:rPr>
          <w:rStyle w:val="CharStyle17"/>
        </w:rPr>
        <w:t xml:space="preserve">Обща бележка: </w:t>
      </w:r>
      <w:r>
        <w:rPr>
          <w:rStyle w:val="CharStyle14"/>
        </w:rPr>
        <w:t>Съгласно §1а, т. 3 от допълнителните разпоредби на Закона за нормативните актове, глава втора и трета, с изключение на мотивите по чл. 28, ал. 1 от същия закон, не се прилагат за законопроектите за ратифициране и денонсиране на международни договори.</w:t>
      </w:r>
    </w:p>
    <w:p>
      <w:pPr>
        <w:pStyle w:val="Style12"/>
        <w:framePr w:w="9418" w:h="6303" w:hRule="exact" w:wrap="none" w:vAnchor="page" w:hAnchor="page" w:x="1266" w:y="8006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20" w:right="20" w:firstLine="420"/>
      </w:pPr>
      <w:r>
        <w:rPr>
          <w:rStyle w:val="CharStyle14"/>
        </w:rPr>
        <w:t>Подкрепяме приложената добра практика да се извърши частична предварителна оценка на въздействието на проекта на Закон за ратифициране на актовете от третия извънреден конгрес на Всемирния пощенски съюз.</w:t>
      </w:r>
    </w:p>
    <w:p>
      <w:pPr>
        <w:pStyle w:val="Style18"/>
        <w:numPr>
          <w:ilvl w:val="0"/>
          <w:numId w:val="1"/>
        </w:numPr>
        <w:framePr w:w="9418" w:h="6303" w:hRule="exact" w:wrap="none" w:vAnchor="page" w:hAnchor="page" w:x="1266" w:y="8006"/>
        <w:tabs>
          <w:tab w:leader="none" w:pos="64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420"/>
      </w:pPr>
      <w:bookmarkStart w:id="4" w:name="bookmark4"/>
      <w:r>
        <w:rPr>
          <w:rStyle w:val="CharStyle20"/>
          <w:b/>
          <w:bCs/>
        </w:rPr>
        <w:t>Относно раздел 1 „Дефиниране на проблема":</w:t>
      </w:r>
      <w:bookmarkEnd w:id="4"/>
    </w:p>
    <w:p>
      <w:pPr>
        <w:pStyle w:val="Style12"/>
        <w:framePr w:w="9418" w:h="6303" w:hRule="exact" w:wrap="none" w:vAnchor="page" w:hAnchor="page" w:x="1266" w:y="8006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20" w:right="20" w:firstLine="420"/>
      </w:pPr>
      <w:r>
        <w:rPr>
          <w:rStyle w:val="CharStyle14"/>
        </w:rPr>
        <w:t>Предлагаме за яснота изложението в т.1.2. да се допълни с кратка информация относно актуалното състояние и функциониране на системата за крайните такси за пощенските услуги с формат Е, както и в какво се състои договорената реформа на системата в съответствие с приетите от конгреса актове.</w:t>
      </w:r>
    </w:p>
    <w:p>
      <w:pPr>
        <w:pStyle w:val="Style18"/>
        <w:numPr>
          <w:ilvl w:val="0"/>
          <w:numId w:val="1"/>
        </w:numPr>
        <w:framePr w:w="9418" w:h="6303" w:hRule="exact" w:wrap="none" w:vAnchor="page" w:hAnchor="page" w:x="1266" w:y="8006"/>
        <w:tabs>
          <w:tab w:leader="none" w:pos="709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420"/>
      </w:pPr>
      <w:bookmarkStart w:id="5" w:name="bookmark5"/>
      <w:r>
        <w:rPr>
          <w:rStyle w:val="CharStyle20"/>
          <w:b/>
          <w:bCs/>
        </w:rPr>
        <w:t>Относно раздел 3 „Идентифициране на заинтересованите страни":</w:t>
      </w:r>
      <w:bookmarkEnd w:id="5"/>
    </w:p>
    <w:p>
      <w:pPr>
        <w:pStyle w:val="Style12"/>
        <w:framePr w:w="9418" w:h="6303" w:hRule="exact" w:wrap="none" w:vAnchor="page" w:hAnchor="page" w:x="1266" w:y="8006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0" w:right="20" w:firstLine="420"/>
      </w:pPr>
      <w:r>
        <w:rPr>
          <w:rStyle w:val="CharStyle14"/>
        </w:rPr>
        <w:t>Предлагаме да се уточни кои са конкретните субекти, които са включени в групата на Българската пощенска администрация. Предлагаме също като заинтересовани страни да бъдат включени пощенските оператори (с приблизителен брой), както и по възможност да се посочи приблизителен брой на групата на потребителите на пощенски услуги (на годишна база или според друга налична статистика).</w:t>
      </w:r>
    </w:p>
    <w:p>
      <w:pPr>
        <w:pStyle w:val="Style18"/>
        <w:numPr>
          <w:ilvl w:val="0"/>
          <w:numId w:val="1"/>
        </w:numPr>
        <w:framePr w:w="9418" w:h="6303" w:hRule="exact" w:wrap="none" w:vAnchor="page" w:hAnchor="page" w:x="1266" w:y="8006"/>
        <w:tabs>
          <w:tab w:leader="none" w:pos="78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420"/>
      </w:pPr>
      <w:bookmarkStart w:id="6" w:name="bookmark6"/>
      <w:r>
        <w:rPr>
          <w:rStyle w:val="CharStyle20"/>
          <w:b/>
          <w:bCs/>
        </w:rPr>
        <w:t>Относно раздел 4 „Варианти на действие":</w:t>
      </w:r>
      <w:bookmarkEnd w:id="6"/>
    </w:p>
    <w:p>
      <w:pPr>
        <w:pStyle w:val="Style12"/>
        <w:framePr w:w="9418" w:h="6303" w:hRule="exact" w:wrap="none" w:vAnchor="page" w:hAnchor="page" w:x="1266" w:y="8006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20" w:right="20" w:firstLine="420"/>
      </w:pPr>
      <w:r>
        <w:rPr>
          <w:rStyle w:val="CharStyle14"/>
        </w:rPr>
        <w:t>Предлагаме в този раздел да се представят накратко възможните варианти за действие. В случая са идентифицирани два варианта - Вариант 0 „Без действие" - Не се ратифицират актовете от третия извънреден конгрес на ВПС и Вариант 1 - Ратифицират се актовете от третия извънреден конгрес на</w:t>
      </w:r>
    </w:p>
    <w:p>
      <w:pPr>
        <w:pStyle w:val="Style21"/>
        <w:framePr w:w="9418" w:h="240" w:hRule="exact" w:wrap="none" w:vAnchor="page" w:hAnchor="page" w:x="1266" w:y="14932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300" w:right="0" w:firstLine="0"/>
      </w:pPr>
      <w:r>
        <w:rPr>
          <w:rStyle w:val="CharStyle23"/>
          <w:i/>
          <w:iCs/>
        </w:rPr>
        <w:t>София, бул. „Дондуков"№ 1, тел. централа: 02/940-29-99, факс: 02/981-81-70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9384" w:h="5425" w:hRule="exact" w:wrap="none" w:vAnchor="page" w:hAnchor="page" w:x="1249" w:y="1739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20" w:right="20" w:firstLine="0"/>
      </w:pPr>
      <w:r>
        <w:rPr>
          <w:rStyle w:val="CharStyle14"/>
        </w:rPr>
        <w:t>ВПС. За представянето на двата варианта може да бъде използванаинформацията, предоставена в раздел 5 и раздел 6 от оценката, както и да се посочи кой е препоръчителният вариант за действие.</w:t>
      </w:r>
    </w:p>
    <w:p>
      <w:pPr>
        <w:pStyle w:val="Style18"/>
        <w:numPr>
          <w:ilvl w:val="0"/>
          <w:numId w:val="3"/>
        </w:numPr>
        <w:framePr w:w="9384" w:h="5425" w:hRule="exact" w:wrap="none" w:vAnchor="page" w:hAnchor="page" w:x="1249" w:y="1739"/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20" w:right="20" w:firstLine="460"/>
      </w:pPr>
      <w:bookmarkStart w:id="7" w:name="bookmark7"/>
      <w:r>
        <w:rPr>
          <w:rStyle w:val="CharStyle20"/>
          <w:b/>
          <w:bCs/>
        </w:rPr>
        <w:t>Относно раздел 8.1. „Административната тежест за физическите и юридическите лица", раздел 8.2. Създават ли се нови регулаторни режими? Засягат ли се съществуващи режими и услуги?" и Раздел 9 „Създават ли се нови регистри?":</w:t>
      </w:r>
      <w:bookmarkEnd w:id="7"/>
    </w:p>
    <w:p>
      <w:pPr>
        <w:pStyle w:val="Style12"/>
        <w:framePr w:w="9384" w:h="5425" w:hRule="exact" w:wrap="none" w:vAnchor="page" w:hAnchor="page" w:x="1249" w:y="1739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20" w:right="20" w:firstLine="460"/>
      </w:pPr>
      <w:r>
        <w:rPr>
          <w:rStyle w:val="CharStyle14"/>
        </w:rPr>
        <w:t>Предлагаме в раздел 8.1., раздел 8.2. и в раздел 9 накратко да се обясни защо не се очакват ефекти върху административната тежест, съответно - не се предвижда въвеждане на нови режими и няма да бъдат засегнати съществуващи режими и услуги, както и че не се създават нови регистри.</w:t>
      </w:r>
    </w:p>
    <w:p>
      <w:pPr>
        <w:pStyle w:val="Style18"/>
        <w:numPr>
          <w:ilvl w:val="0"/>
          <w:numId w:val="3"/>
        </w:numPr>
        <w:framePr w:w="9384" w:h="5425" w:hRule="exact" w:wrap="none" w:vAnchor="page" w:hAnchor="page" w:x="1249" w:y="1739"/>
        <w:tabs>
          <w:tab w:leader="none" w:pos="836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20" w:right="20" w:firstLine="460"/>
      </w:pPr>
      <w:bookmarkStart w:id="8" w:name="bookmark8"/>
      <w:r>
        <w:rPr>
          <w:rStyle w:val="CharStyle20"/>
          <w:b/>
          <w:bCs/>
        </w:rPr>
        <w:t>Относно раздел 10 „Как въздейства актът върху микро, малките и средните предприятия (МСП) ?":</w:t>
      </w:r>
      <w:bookmarkEnd w:id="8"/>
    </w:p>
    <w:p>
      <w:pPr>
        <w:pStyle w:val="Style12"/>
        <w:framePr w:w="9384" w:h="5425" w:hRule="exact" w:wrap="none" w:vAnchor="page" w:hAnchor="page" w:x="1249" w:y="1739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20" w:right="20" w:firstLine="460"/>
      </w:pPr>
      <w:r>
        <w:rPr>
          <w:rStyle w:val="CharStyle14"/>
        </w:rPr>
        <w:t>Предлагаме да се обоснове накратко защо не се очакват преки ефекти върху МСП при избора на Вариант 1 за действие.</w:t>
      </w:r>
    </w:p>
    <w:p>
      <w:pPr>
        <w:pStyle w:val="Style18"/>
        <w:numPr>
          <w:ilvl w:val="0"/>
          <w:numId w:val="3"/>
        </w:numPr>
        <w:framePr w:w="9384" w:h="5425" w:hRule="exact" w:wrap="none" w:vAnchor="page" w:hAnchor="page" w:x="1249" w:y="1739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spacing w:before="0" w:after="86" w:line="240" w:lineRule="exact"/>
        <w:ind w:left="20" w:right="0" w:firstLine="460"/>
      </w:pPr>
      <w:bookmarkStart w:id="9" w:name="bookmark9"/>
      <w:r>
        <w:rPr>
          <w:rStyle w:val="CharStyle20"/>
          <w:b/>
          <w:bCs/>
        </w:rPr>
        <w:t>Относно раздел 12 „Обществени консултации":</w:t>
      </w:r>
      <w:bookmarkEnd w:id="9"/>
    </w:p>
    <w:p>
      <w:pPr>
        <w:pStyle w:val="Style12"/>
        <w:framePr w:w="9384" w:h="5425" w:hRule="exact" w:wrap="none" w:vAnchor="page" w:hAnchor="page" w:x="1249" w:y="1739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20" w:firstLine="460"/>
      </w:pPr>
      <w:r>
        <w:rPr>
          <w:rStyle w:val="CharStyle14"/>
        </w:rPr>
        <w:t>Предлагаме в този раздел да се допълни необходимата информация относно обществените консултации с оглед на цитираната разпоредба на §1а, т. 3 от допълнителните разпоредби на Закона за нормативните актове.</w:t>
      </w:r>
    </w:p>
    <w:p>
      <w:pPr>
        <w:pStyle w:val="Style12"/>
        <w:framePr w:w="9384" w:h="4069" w:hRule="exact" w:wrap="none" w:vAnchor="page" w:hAnchor="page" w:x="1249" w:y="7778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20" w:right="20" w:firstLine="0"/>
      </w:pPr>
      <w:r>
        <w:rPr>
          <w:rStyle w:val="CharStyle14"/>
        </w:rPr>
        <w:t>*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съвети на неговата администрация.</w:t>
      </w:r>
    </w:p>
    <w:p>
      <w:pPr>
        <w:pStyle w:val="Style12"/>
        <w:framePr w:w="9384" w:h="4069" w:hRule="exact" w:wrap="none" w:vAnchor="page" w:hAnchor="page" w:x="1249" w:y="7778"/>
        <w:widowControl w:val="0"/>
        <w:keepNext w:val="0"/>
        <w:keepLines w:val="0"/>
        <w:shd w:val="clear" w:color="auto" w:fill="auto"/>
        <w:bidi w:val="0"/>
        <w:jc w:val="both"/>
        <w:spacing w:before="0" w:after="188" w:line="245" w:lineRule="exact"/>
        <w:ind w:left="20" w:right="20" w:firstLine="0"/>
      </w:pPr>
      <w:r>
        <w:rPr>
          <w:rStyle w:val="CharStyle14"/>
        </w:rPr>
        <w:t>** При съгласуването по чл. 32 от Устройствения правилник на Министерския съвет и на неговата администрация се съпоставят кръгът от въпроси, проблеми и решения, разгледани в оценката на въздействието и кръгът от въпроси, засегнати от обхвата на нормативната намеса в проекта на акт.</w:t>
      </w:r>
    </w:p>
    <w:p>
      <w:pPr>
        <w:pStyle w:val="Style12"/>
        <w:framePr w:w="9384" w:h="4069" w:hRule="exact" w:wrap="none" w:vAnchor="page" w:hAnchor="page" w:x="1249" w:y="7778"/>
        <w:widowControl w:val="0"/>
        <w:keepNext w:val="0"/>
        <w:keepLines w:val="0"/>
        <w:shd w:val="clear" w:color="auto" w:fill="auto"/>
        <w:bidi w:val="0"/>
        <w:jc w:val="both"/>
        <w:spacing w:before="0" w:after="176" w:line="235" w:lineRule="exact"/>
        <w:ind w:left="20" w:right="20" w:firstLine="0"/>
      </w:pPr>
      <w:r>
        <w:rPr>
          <w:rStyle w:val="CharStyle14"/>
        </w:rPr>
        <w:t>*** На основание чл. 306,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</w:r>
    </w:p>
    <w:p>
      <w:pPr>
        <w:pStyle w:val="Style12"/>
        <w:framePr w:w="9384" w:h="4069" w:hRule="exact" w:wrap="none" w:vAnchor="page" w:hAnchor="page" w:x="1249" w:y="777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" w:right="20" w:firstLine="0"/>
      </w:pPr>
      <w:r>
        <w:rPr>
          <w:rStyle w:val="CharStyle14"/>
        </w:rPr>
        <w:t>****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</w:r>
    </w:p>
    <w:p>
      <w:pPr>
        <w:pStyle w:val="Style18"/>
        <w:framePr w:w="9384" w:h="1249" w:hRule="exact" w:wrap="none" w:vAnchor="page" w:hAnchor="page" w:x="1249" w:y="12190"/>
        <w:widowControl w:val="0"/>
        <w:keepNext w:val="0"/>
        <w:keepLines w:val="0"/>
        <w:shd w:val="clear" w:color="auto" w:fill="auto"/>
        <w:bidi w:val="0"/>
        <w:jc w:val="left"/>
        <w:spacing w:before="0" w:after="0" w:line="398" w:lineRule="exact"/>
        <w:ind w:left="660" w:right="20" w:firstLine="0"/>
      </w:pPr>
      <w:bookmarkStart w:id="10" w:name="bookmark10"/>
      <w:r>
        <w:rPr>
          <w:rStyle w:val="CharStyle20"/>
          <w:b/>
          <w:bCs/>
        </w:rPr>
        <w:t>ДИРЕКТОР НА ДИРЕКЦИЯ „МОДЕРНИЗАЦИЯ НА АДМИНИСТРАЦИЯТА" /КРАСИМИР БОЖАНОВ/</w:t>
      </w:r>
      <w:bookmarkEnd w:id="10"/>
    </w:p>
    <w:p>
      <w:pPr>
        <w:pStyle w:val="Style24"/>
        <w:framePr w:wrap="none" w:vAnchor="page" w:hAnchor="page" w:x="10052" w:y="1498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rStyle w:val="CharStyle26"/>
          <w:lang w:val="bg-BG"/>
        </w:rPr>
        <w:t>2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en-US"/>
        <w:b/>
        <w:bCs/>
        <w:i w:val="0"/>
        <w:iCs w:val="0"/>
        <w:u w:val="none"/>
        <w:strike w:val="0"/>
        <w:smallCaps w:val="0"/>
        <w:sz w:val="24"/>
        <w:szCs w:val="24"/>
        <w:rFonts w:ascii="Calibri" w:eastAsia="Calibri" w:hAnsi="Calibri" w:cs="Calibri"/>
        <w:w w:val="100"/>
        <w:spacing w:val="3"/>
        <w:color w:val="000000"/>
        <w:position w:val="0"/>
      </w:rPr>
    </w:lvl>
  </w:abstractNum>
  <w:abstractNum w:abstractNumId="2">
    <w:multiLevelType w:val="multilevel"/>
    <w:lvl w:ilvl="0">
      <w:start w:val="4"/>
      <w:numFmt w:val="upperRoman"/>
      <w:lvlText w:val="%1."/>
      <w:rPr>
        <w:lang w:val="bg-BG"/>
        <w:b/>
        <w:bCs/>
        <w:i w:val="0"/>
        <w:iCs w:val="0"/>
        <w:u w:val="none"/>
        <w:strike w:val="0"/>
        <w:smallCaps w:val="0"/>
        <w:sz w:val="24"/>
        <w:szCs w:val="24"/>
        <w:rFonts w:ascii="Calibri" w:eastAsia="Calibri" w:hAnsi="Calibri" w:cs="Calibri"/>
        <w:w w:val="100"/>
        <w:spacing w:val="3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bg-BG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bg-BG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bg-BG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лавие #1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  <w:spacing w:val="4"/>
    </w:rPr>
  </w:style>
  <w:style w:type="character" w:customStyle="1" w:styleId="CharStyle5">
    <w:name w:val="Заглавие #1"/>
    <w:basedOn w:val="CharStyle4"/>
    <w:rPr>
      <w:lang w:val="bg-BG"/>
      <w:w w:val="100"/>
      <w:color w:val="000000"/>
      <w:position w:val="0"/>
    </w:rPr>
  </w:style>
  <w:style w:type="character" w:customStyle="1" w:styleId="CharStyle7">
    <w:name w:val="Основен текст (2)_"/>
    <w:basedOn w:val="DefaultParagraphFont"/>
    <w:link w:val="Style6"/>
    <w:rPr>
      <w:b w:val="0"/>
      <w:bCs w:val="0"/>
      <w:i/>
      <w:iCs/>
      <w:u w:val="none"/>
      <w:strike w:val="0"/>
      <w:smallCaps w:val="0"/>
      <w:sz w:val="15"/>
      <w:szCs w:val="15"/>
      <w:rFonts w:ascii="Calibri" w:eastAsia="Calibri" w:hAnsi="Calibri" w:cs="Calibri"/>
      <w:spacing w:val="-6"/>
    </w:rPr>
  </w:style>
  <w:style w:type="character" w:customStyle="1" w:styleId="CharStyle8">
    <w:name w:val="Основен текст (2)"/>
    <w:basedOn w:val="CharStyle7"/>
    <w:rPr>
      <w:lang w:val="bg-BG"/>
      <w:w w:val="100"/>
      <w:color w:val="000000"/>
      <w:position w:val="0"/>
    </w:rPr>
  </w:style>
  <w:style w:type="character" w:customStyle="1" w:styleId="CharStyle10">
    <w:name w:val="Основен текст (3)_"/>
    <w:basedOn w:val="DefaultParagraphFont"/>
    <w:link w:val="Style9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1">
    <w:name w:val="Основен текст (3)"/>
    <w:basedOn w:val="CharStyle10"/>
    <w:rPr>
      <w:lang w:val="bg-BG"/>
      <w:w w:val="100"/>
      <w:spacing w:val="0"/>
      <w:color w:val="FFFFFF"/>
      <w:position w:val="0"/>
    </w:rPr>
  </w:style>
  <w:style w:type="character" w:customStyle="1" w:styleId="CharStyle13">
    <w:name w:val="Основен текст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  <w:spacing w:val="2"/>
    </w:rPr>
  </w:style>
  <w:style w:type="character" w:customStyle="1" w:styleId="CharStyle14">
    <w:name w:val="Основен текст"/>
    <w:basedOn w:val="CharStyle13"/>
    <w:rPr>
      <w:lang w:val="bg-BG"/>
      <w:w w:val="100"/>
      <w:color w:val="000000"/>
      <w:position w:val="0"/>
    </w:rPr>
  </w:style>
  <w:style w:type="character" w:customStyle="1" w:styleId="CharStyle15">
    <w:name w:val="Основен текст (3)"/>
    <w:basedOn w:val="CharStyle10"/>
    <w:rPr>
      <w:lang w:val="bg-BG"/>
      <w:u w:val="single"/>
      <w:w w:val="100"/>
      <w:spacing w:val="0"/>
      <w:color w:val="FFFFFF"/>
      <w:position w:val="0"/>
    </w:rPr>
  </w:style>
  <w:style w:type="character" w:customStyle="1" w:styleId="CharStyle16">
    <w:name w:val="Основен текст"/>
    <w:basedOn w:val="CharStyle13"/>
    <w:rPr>
      <w:lang w:val="bg-BG"/>
      <w:u w:val="single"/>
      <w:w w:val="100"/>
      <w:color w:val="000000"/>
      <w:position w:val="0"/>
    </w:rPr>
  </w:style>
  <w:style w:type="character" w:customStyle="1" w:styleId="CharStyle17">
    <w:name w:val="Основен текст + Удебелен,Разредка 0 pt"/>
    <w:basedOn w:val="CharStyle13"/>
    <w:rPr>
      <w:lang w:val="bg-BG"/>
      <w:b/>
      <w:bCs/>
      <w:w w:val="100"/>
      <w:spacing w:val="4"/>
      <w:color w:val="000000"/>
      <w:position w:val="0"/>
    </w:rPr>
  </w:style>
  <w:style w:type="character" w:customStyle="1" w:styleId="CharStyle19">
    <w:name w:val="Заглавие #2_"/>
    <w:basedOn w:val="DefaultParagraphFont"/>
    <w:link w:val="Style18"/>
    <w:rPr>
      <w:b/>
      <w:bCs/>
      <w:i w:val="0"/>
      <w:iCs w:val="0"/>
      <w:u w:val="none"/>
      <w:strike w:val="0"/>
      <w:smallCaps w:val="0"/>
      <w:rFonts w:ascii="Calibri" w:eastAsia="Calibri" w:hAnsi="Calibri" w:cs="Calibri"/>
      <w:spacing w:val="3"/>
    </w:rPr>
  </w:style>
  <w:style w:type="character" w:customStyle="1" w:styleId="CharStyle20">
    <w:name w:val="Заглавие #2"/>
    <w:basedOn w:val="CharStyle19"/>
    <w:rPr>
      <w:lang w:val="bg-BG"/>
      <w:sz w:val="24"/>
      <w:szCs w:val="24"/>
      <w:w w:val="100"/>
      <w:color w:val="000000"/>
      <w:position w:val="0"/>
    </w:rPr>
  </w:style>
  <w:style w:type="character" w:customStyle="1" w:styleId="CharStyle22">
    <w:name w:val="Основен текст (4)_"/>
    <w:basedOn w:val="DefaultParagraphFont"/>
    <w:link w:val="Style21"/>
    <w:rPr>
      <w:b w:val="0"/>
      <w:bCs w:val="0"/>
      <w:i/>
      <w:iCs/>
      <w:u w:val="none"/>
      <w:strike w:val="0"/>
      <w:smallCaps w:val="0"/>
      <w:sz w:val="17"/>
      <w:szCs w:val="17"/>
      <w:rFonts w:ascii="Calibri" w:eastAsia="Calibri" w:hAnsi="Calibri" w:cs="Calibri"/>
      <w:spacing w:val="2"/>
    </w:rPr>
  </w:style>
  <w:style w:type="character" w:customStyle="1" w:styleId="CharStyle23">
    <w:name w:val="Основен текст (4)"/>
    <w:basedOn w:val="CharStyle22"/>
    <w:rPr>
      <w:lang w:val="bg-BG"/>
      <w:w w:val="100"/>
      <w:color w:val="000000"/>
      <w:position w:val="0"/>
    </w:rPr>
  </w:style>
  <w:style w:type="character" w:customStyle="1" w:styleId="CharStyle25">
    <w:name w:val="Горен или долен колонтитул_"/>
    <w:basedOn w:val="DefaultParagraphFont"/>
    <w:link w:val="Style24"/>
    <w:rPr>
      <w:lang w:val="1024"/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26">
    <w:name w:val="Горен или долен колонтитул"/>
    <w:basedOn w:val="CharStyle25"/>
    <w:rPr>
      <w:w w:val="100"/>
      <w:spacing w:val="0"/>
      <w:color w:val="000000"/>
      <w:position w:val="0"/>
    </w:rPr>
  </w:style>
  <w:style w:type="paragraph" w:customStyle="1" w:styleId="Style3">
    <w:name w:val="Заглавие #1"/>
    <w:basedOn w:val="Normal"/>
    <w:link w:val="CharStyle4"/>
    <w:pPr>
      <w:widowControl w:val="0"/>
      <w:shd w:val="clear" w:color="auto" w:fill="FFFFFF"/>
      <w:jc w:val="center"/>
      <w:outlineLvl w:val="0"/>
      <w:spacing w:line="413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  <w:spacing w:val="4"/>
    </w:rPr>
  </w:style>
  <w:style w:type="paragraph" w:customStyle="1" w:styleId="Style6">
    <w:name w:val="Основен текст (2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Calibri" w:eastAsia="Calibri" w:hAnsi="Calibri" w:cs="Calibri"/>
      <w:spacing w:val="-6"/>
    </w:rPr>
  </w:style>
  <w:style w:type="paragraph" w:customStyle="1" w:styleId="Style9">
    <w:name w:val="Основен текст (3)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12">
    <w:name w:val="Основен текст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  <w:spacing w:val="2"/>
    </w:rPr>
  </w:style>
  <w:style w:type="paragraph" w:customStyle="1" w:styleId="Style18">
    <w:name w:val="Заглавие #2"/>
    <w:basedOn w:val="Normal"/>
    <w:link w:val="CharStyle19"/>
    <w:pPr>
      <w:widowControl w:val="0"/>
      <w:shd w:val="clear" w:color="auto" w:fill="FFFFFF"/>
      <w:jc w:val="both"/>
      <w:outlineLvl w:val="1"/>
      <w:spacing w:after="120" w:line="0" w:lineRule="exact"/>
    </w:pPr>
    <w:rPr>
      <w:b/>
      <w:bCs/>
      <w:i w:val="0"/>
      <w:iCs w:val="0"/>
      <w:u w:val="none"/>
      <w:strike w:val="0"/>
      <w:smallCaps w:val="0"/>
      <w:rFonts w:ascii="Calibri" w:eastAsia="Calibri" w:hAnsi="Calibri" w:cs="Calibri"/>
      <w:spacing w:val="3"/>
    </w:rPr>
  </w:style>
  <w:style w:type="paragraph" w:customStyle="1" w:styleId="Style21">
    <w:name w:val="Основен текст (4)"/>
    <w:basedOn w:val="Normal"/>
    <w:link w:val="CharStyle22"/>
    <w:pPr>
      <w:widowControl w:val="0"/>
      <w:shd w:val="clear" w:color="auto" w:fill="FFFFFF"/>
      <w:jc w:val="center"/>
      <w:spacing w:before="540" w:line="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Calibri" w:eastAsia="Calibri" w:hAnsi="Calibri" w:cs="Calibri"/>
      <w:spacing w:val="2"/>
    </w:rPr>
  </w:style>
  <w:style w:type="paragraph" w:customStyle="1" w:styleId="Style24">
    <w:name w:val="Горен или долен колонтитул"/>
    <w:basedOn w:val="Normal"/>
    <w:link w:val="CharStyle25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