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11" w:rsidRDefault="006A0A3D">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B99C4A200A64D91878D27B136872F14" style="width:450.8pt;height:458.3pt">
            <v:imagedata r:id="rId12" o:title=""/>
          </v:shape>
        </w:pict>
      </w:r>
    </w:p>
    <w:bookmarkEnd w:id="0"/>
    <w:p w:rsidR="00232011" w:rsidRDefault="00232011">
      <w:pPr>
        <w:rPr>
          <w:noProof/>
        </w:rPr>
        <w:sectPr w:rsidR="00232011">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p w:rsidR="00232011" w:rsidRDefault="00232011">
      <w:pPr>
        <w:rPr>
          <w:noProof/>
        </w:rPr>
      </w:pPr>
    </w:p>
    <w:tbl>
      <w:tblPr>
        <w:tblStyle w:val="TableGrid"/>
        <w:tblW w:w="0" w:type="auto"/>
        <w:tblLook w:val="01E0" w:firstRow="1" w:lastRow="1" w:firstColumn="1" w:lastColumn="1" w:noHBand="0" w:noVBand="0"/>
      </w:tblPr>
      <w:tblGrid>
        <w:gridCol w:w="10421"/>
      </w:tblGrid>
      <w:tr w:rsidR="00232011">
        <w:tc>
          <w:tcPr>
            <w:tcW w:w="0" w:type="auto"/>
            <w:tcBorders>
              <w:bottom w:val="single" w:sz="4" w:space="0" w:color="auto"/>
            </w:tcBorders>
            <w:shd w:val="clear" w:color="auto" w:fill="CCCCCC"/>
          </w:tcPr>
          <w:p w:rsidR="00232011" w:rsidRDefault="006A0A3D">
            <w:pPr>
              <w:spacing w:before="60" w:after="60"/>
              <w:jc w:val="center"/>
              <w:rPr>
                <w:rFonts w:ascii="Tahoma" w:hAnsi="Tahoma" w:cs="Tahoma"/>
                <w:b/>
                <w:noProof/>
                <w:sz w:val="22"/>
                <w:szCs w:val="22"/>
              </w:rPr>
            </w:pPr>
            <w:r>
              <w:rPr>
                <w:rFonts w:ascii="Tahoma" w:hAnsi="Tahoma"/>
                <w:b/>
                <w:noProof/>
                <w:sz w:val="22"/>
              </w:rPr>
              <w:t>Обобщение</w:t>
            </w:r>
          </w:p>
        </w:tc>
      </w:tr>
      <w:tr w:rsidR="00232011">
        <w:tc>
          <w:tcPr>
            <w:tcW w:w="0" w:type="auto"/>
            <w:tcBorders>
              <w:top w:val="single" w:sz="4" w:space="0" w:color="auto"/>
              <w:left w:val="single" w:sz="4" w:space="0" w:color="auto"/>
              <w:bottom w:val="single" w:sz="4" w:space="0" w:color="auto"/>
              <w:right w:val="single" w:sz="4" w:space="0" w:color="auto"/>
            </w:tcBorders>
            <w:shd w:val="clear" w:color="auto" w:fill="4F81BD" w:themeFill="accent1"/>
          </w:tcPr>
          <w:p w:rsidR="00232011" w:rsidRDefault="006A0A3D">
            <w:pPr>
              <w:spacing w:before="120" w:after="120"/>
              <w:jc w:val="center"/>
              <w:rPr>
                <w:rFonts w:ascii="Tahoma" w:hAnsi="Tahoma" w:cs="Tahoma"/>
                <w:noProof/>
                <w:sz w:val="20"/>
                <w:szCs w:val="20"/>
              </w:rPr>
            </w:pPr>
            <w:r>
              <w:rPr>
                <w:rFonts w:ascii="Tahoma" w:hAnsi="Tahoma"/>
                <w:noProof/>
                <w:color w:val="FFFFFF" w:themeColor="background1"/>
                <w:sz w:val="20"/>
              </w:rPr>
              <w:t xml:space="preserve">Оценка на въздействието от използването на радиочестотната лента 470—790 MHz в </w:t>
            </w:r>
            <w:r>
              <w:rPr>
                <w:rFonts w:ascii="Tahoma" w:hAnsi="Tahoma"/>
                <w:noProof/>
                <w:color w:val="FFFFFF" w:themeColor="background1"/>
                <w:sz w:val="20"/>
              </w:rPr>
              <w:t>Съюза</w:t>
            </w:r>
          </w:p>
        </w:tc>
      </w:tr>
      <w:tr w:rsidR="00232011">
        <w:tc>
          <w:tcPr>
            <w:tcW w:w="0" w:type="auto"/>
            <w:tcBorders>
              <w:bottom w:val="single" w:sz="4" w:space="0" w:color="auto"/>
            </w:tcBorders>
            <w:shd w:val="clear" w:color="auto" w:fill="CCCCCC"/>
          </w:tcPr>
          <w:p w:rsidR="00232011" w:rsidRDefault="006A0A3D">
            <w:pPr>
              <w:spacing w:before="60" w:after="60"/>
              <w:jc w:val="center"/>
              <w:rPr>
                <w:rFonts w:ascii="Tahoma" w:hAnsi="Tahoma" w:cs="Tahoma"/>
                <w:b/>
                <w:noProof/>
                <w:sz w:val="22"/>
                <w:szCs w:val="22"/>
              </w:rPr>
            </w:pPr>
            <w:r>
              <w:rPr>
                <w:rFonts w:ascii="Tahoma" w:hAnsi="Tahoma"/>
                <w:b/>
                <w:noProof/>
                <w:sz w:val="22"/>
              </w:rPr>
              <w:t>А. Необходимостта от мерки</w:t>
            </w:r>
          </w:p>
        </w:tc>
      </w:tr>
      <w:tr w:rsidR="00232011">
        <w:tc>
          <w:tcPr>
            <w:tcW w:w="0" w:type="auto"/>
            <w:tcBorders>
              <w:bottom w:val="single" w:sz="4" w:space="0" w:color="auto"/>
            </w:tcBorders>
            <w:shd w:val="clear" w:color="auto" w:fill="E0E0E0"/>
          </w:tcPr>
          <w:p w:rsidR="00232011" w:rsidRDefault="006A0A3D">
            <w:pPr>
              <w:spacing w:before="60" w:after="60"/>
              <w:jc w:val="both"/>
              <w:rPr>
                <w:rFonts w:ascii="Tahoma" w:hAnsi="Tahoma" w:cs="Tahoma"/>
                <w:noProof/>
                <w:sz w:val="20"/>
                <w:szCs w:val="20"/>
              </w:rPr>
            </w:pPr>
            <w:r>
              <w:rPr>
                <w:rFonts w:ascii="Tahoma" w:hAnsi="Tahoma"/>
                <w:b/>
                <w:noProof/>
                <w:sz w:val="20"/>
              </w:rPr>
              <w:t>Защо? Какъв е разглежданият проблем?</w:t>
            </w:r>
          </w:p>
        </w:tc>
      </w:tr>
      <w:tr w:rsidR="00232011">
        <w:tc>
          <w:tcPr>
            <w:tcW w:w="0" w:type="auto"/>
            <w:tcBorders>
              <w:bottom w:val="single" w:sz="4" w:space="0" w:color="auto"/>
            </w:tcBorders>
            <w:shd w:val="clear" w:color="auto" w:fill="auto"/>
          </w:tcPr>
          <w:p w:rsidR="00232011" w:rsidRDefault="006A0A3D">
            <w:pPr>
              <w:jc w:val="both"/>
              <w:rPr>
                <w:rFonts w:ascii="Arial" w:hAnsi="Arial" w:cs="Arial"/>
                <w:noProof/>
                <w:sz w:val="20"/>
                <w:szCs w:val="20"/>
              </w:rPr>
            </w:pPr>
            <w:r>
              <w:rPr>
                <w:rFonts w:ascii="Arial" w:hAnsi="Arial"/>
                <w:noProof/>
                <w:sz w:val="20"/>
              </w:rPr>
              <w:t xml:space="preserve">Безжичната връзка изисква достъп до подходящ радиочестотен спектър. Нарастващият трафик през мобилни устройства, главно заради видео съдържанието, претоварва честотните ленти, които </w:t>
            </w:r>
            <w:r>
              <w:rPr>
                <w:rFonts w:ascii="Arial" w:hAnsi="Arial"/>
                <w:noProof/>
                <w:sz w:val="20"/>
              </w:rPr>
              <w:t xml:space="preserve">са понастоящем на разположение за безжични широколентови комуникации (WBB). В отговор на това бяха организирани действия и дискусии на равнище Международен съюз по далекосъобщения (МСД) относно евентуалното използване на радиочестотите под 1 GHz. МСД дава </w:t>
            </w:r>
            <w:r>
              <w:rPr>
                <w:rFonts w:ascii="Arial" w:hAnsi="Arial"/>
                <w:noProof/>
                <w:sz w:val="20"/>
              </w:rPr>
              <w:t>съгласието си честотната лента 694—790 MHz („лентата около 700 MHz“) да се използва за WBB. Държави от Северна Америка планират да използват и честотната лента 470—694 MHz („лентата под 700 MHz“) за WBB. Тъй като целият дециметров обхват (470—790 MHz) в ЕС</w:t>
            </w:r>
            <w:r>
              <w:rPr>
                <w:rFonts w:ascii="Arial" w:hAnsi="Arial"/>
                <w:noProof/>
                <w:sz w:val="20"/>
              </w:rPr>
              <w:t xml:space="preserve"> се използва в момента за цифрова наземна телевизия (DTT) и от звукотехническо оборудване за реализирането на програми и специални прояви (PMSE), е налице конфликтност в търсенето на този „първокачествен“ спектър.</w:t>
            </w:r>
          </w:p>
          <w:p w:rsidR="00232011" w:rsidRDefault="00232011">
            <w:pPr>
              <w:jc w:val="both"/>
              <w:rPr>
                <w:rFonts w:ascii="Arial" w:hAnsi="Arial" w:cs="Arial"/>
                <w:noProof/>
                <w:sz w:val="20"/>
                <w:szCs w:val="20"/>
              </w:rPr>
            </w:pPr>
          </w:p>
          <w:p w:rsidR="00232011" w:rsidRDefault="006A0A3D">
            <w:pPr>
              <w:jc w:val="both"/>
              <w:rPr>
                <w:rFonts w:ascii="Arial" w:hAnsi="Arial" w:cs="Arial"/>
                <w:noProof/>
                <w:sz w:val="20"/>
                <w:szCs w:val="20"/>
              </w:rPr>
            </w:pPr>
            <w:r>
              <w:rPr>
                <w:rFonts w:ascii="Arial" w:hAnsi="Arial"/>
                <w:noProof/>
                <w:sz w:val="20"/>
              </w:rPr>
              <w:t>Хармонизираните честотни ленти за WBB в Е</w:t>
            </w:r>
            <w:r>
              <w:rPr>
                <w:rFonts w:ascii="Arial" w:hAnsi="Arial"/>
                <w:noProof/>
                <w:sz w:val="20"/>
              </w:rPr>
              <w:t>С, особено тези под 1 GHz, са важни за постигане на целите за свързаност на ЕС, заложени в Програмата в областта на цифровите технологии за Европа (DAE).</w:t>
            </w:r>
            <w:r>
              <w:rPr>
                <w:noProof/>
              </w:rPr>
              <w:t xml:space="preserve"> </w:t>
            </w:r>
            <w:r>
              <w:rPr>
                <w:rFonts w:ascii="Arial" w:hAnsi="Arial"/>
                <w:noProof/>
                <w:sz w:val="20"/>
              </w:rPr>
              <w:t>Страните от ЕС подкрепят възприемането на координиран подход на равнище ЕС при предоставянето на безжи</w:t>
            </w:r>
            <w:r>
              <w:rPr>
                <w:rFonts w:ascii="Arial" w:hAnsi="Arial"/>
                <w:noProof/>
                <w:sz w:val="20"/>
              </w:rPr>
              <w:t>чни широколентови съобщителни услуги в честотната лента около 700 MHz, но се разминават относно подходящите срокове, тъй като потребностите им по отношение на DTT се различават съществено.  Тези различия в мненията могат да забавят въвеждането на усъвършен</w:t>
            </w:r>
            <w:r>
              <w:rPr>
                <w:rFonts w:ascii="Arial" w:hAnsi="Arial"/>
                <w:noProof/>
                <w:sz w:val="20"/>
              </w:rPr>
              <w:t>ствани мрежи, които са необходими за постигането на целите на ЕС по отношение на свързаността, и да създадат трансгранични радиосмущения между отделните държави в ЕС.</w:t>
            </w:r>
          </w:p>
        </w:tc>
      </w:tr>
      <w:tr w:rsidR="00232011">
        <w:tc>
          <w:tcPr>
            <w:tcW w:w="0" w:type="auto"/>
            <w:tcBorders>
              <w:bottom w:val="single" w:sz="4" w:space="0" w:color="auto"/>
            </w:tcBorders>
            <w:shd w:val="clear" w:color="auto" w:fill="E6E6E6"/>
          </w:tcPr>
          <w:p w:rsidR="00232011" w:rsidRDefault="006A0A3D">
            <w:pPr>
              <w:spacing w:before="60" w:after="60"/>
              <w:jc w:val="both"/>
              <w:rPr>
                <w:rFonts w:ascii="Tahoma" w:hAnsi="Tahoma" w:cs="Tahoma"/>
                <w:noProof/>
                <w:sz w:val="20"/>
                <w:szCs w:val="20"/>
              </w:rPr>
            </w:pPr>
            <w:r>
              <w:rPr>
                <w:rFonts w:ascii="Tahoma" w:hAnsi="Tahoma"/>
                <w:b/>
                <w:noProof/>
                <w:sz w:val="20"/>
              </w:rPr>
              <w:t>Какво се очаква да бъде постигнато с настоящата инициатива?</w:t>
            </w:r>
          </w:p>
        </w:tc>
      </w:tr>
      <w:tr w:rsidR="00232011">
        <w:tc>
          <w:tcPr>
            <w:tcW w:w="0" w:type="auto"/>
            <w:tcBorders>
              <w:bottom w:val="single" w:sz="4" w:space="0" w:color="auto"/>
            </w:tcBorders>
            <w:shd w:val="clear" w:color="auto" w:fill="auto"/>
          </w:tcPr>
          <w:p w:rsidR="00232011" w:rsidRDefault="006A0A3D">
            <w:pPr>
              <w:jc w:val="both"/>
              <w:rPr>
                <w:rFonts w:ascii="Arial" w:hAnsi="Arial" w:cs="Arial"/>
                <w:noProof/>
                <w:sz w:val="20"/>
                <w:szCs w:val="20"/>
              </w:rPr>
            </w:pPr>
            <w:r>
              <w:rPr>
                <w:rFonts w:ascii="Arial" w:hAnsi="Arial"/>
                <w:noProof/>
                <w:sz w:val="20"/>
              </w:rPr>
              <w:t>Цифровият единен пазар (DSM</w:t>
            </w:r>
            <w:r>
              <w:rPr>
                <w:rFonts w:ascii="Arial" w:hAnsi="Arial"/>
                <w:noProof/>
                <w:sz w:val="20"/>
              </w:rPr>
              <w:t>) е един от десетте ключови политически приоритети на Комисията. Без наличието на повсеместни високоскоростни безжични връзки той не може да бъде постигнат, а такива могат да бъдат осигурени по разходоефективен начин за всички граждани на ЕС само чрез фикс</w:t>
            </w:r>
            <w:r>
              <w:rPr>
                <w:rFonts w:ascii="Arial" w:hAnsi="Arial"/>
                <w:noProof/>
                <w:sz w:val="20"/>
              </w:rPr>
              <w:t>ирани и безжични мрежи, чието наличие е не по-малко важно. Високоскоростната свързаност в рамките на целия Съюз ще позволи разработването на новаторски услуги на пазарите на аудио-визуално съдържание и мобилни услуги. Тя ще осигури основа и за нови услуги,</w:t>
            </w:r>
            <w:r>
              <w:rPr>
                <w:rFonts w:ascii="Arial" w:hAnsi="Arial"/>
                <w:noProof/>
                <w:sz w:val="20"/>
              </w:rPr>
              <w:t xml:space="preserve"> като например свързването на автомобили, възможно единствено при общоевропейско покритие и съответен капацитет.</w:t>
            </w:r>
          </w:p>
          <w:p w:rsidR="00232011" w:rsidRDefault="00232011">
            <w:pPr>
              <w:jc w:val="both"/>
              <w:rPr>
                <w:rFonts w:ascii="Arial" w:hAnsi="Arial" w:cs="Arial"/>
                <w:noProof/>
                <w:sz w:val="20"/>
                <w:szCs w:val="20"/>
              </w:rPr>
            </w:pPr>
          </w:p>
          <w:p w:rsidR="00232011" w:rsidRDefault="006A0A3D">
            <w:pPr>
              <w:jc w:val="both"/>
              <w:rPr>
                <w:rFonts w:ascii="Arial" w:hAnsi="Arial" w:cs="Arial"/>
                <w:noProof/>
                <w:sz w:val="20"/>
                <w:szCs w:val="20"/>
              </w:rPr>
            </w:pPr>
            <w:r>
              <w:rPr>
                <w:rFonts w:ascii="Arial" w:hAnsi="Arial"/>
                <w:noProof/>
                <w:sz w:val="20"/>
              </w:rPr>
              <w:t>Комисията представя стратегия на ЕС за бъдещото използване на дециметровия обхват (UHF) с цел тази част на спектъра да се използва ефективно и</w:t>
            </w:r>
            <w:r>
              <w:rPr>
                <w:rFonts w:ascii="Arial" w:hAnsi="Arial"/>
                <w:noProof/>
                <w:sz w:val="20"/>
              </w:rPr>
              <w:t xml:space="preserve"> адекватно на промените в пазара на далекосъобщенията и медиите, като същевременно се запази моделът на ЕС за аудиовизуалното съдържание и съществуващото телевизионно разпространение на безплатно съдържание.</w:t>
            </w:r>
          </w:p>
        </w:tc>
      </w:tr>
      <w:tr w:rsidR="00232011">
        <w:tc>
          <w:tcPr>
            <w:tcW w:w="0" w:type="auto"/>
            <w:tcBorders>
              <w:bottom w:val="single" w:sz="4" w:space="0" w:color="auto"/>
            </w:tcBorders>
            <w:shd w:val="clear" w:color="auto" w:fill="E6E6E6"/>
          </w:tcPr>
          <w:p w:rsidR="00232011" w:rsidRDefault="006A0A3D">
            <w:pPr>
              <w:spacing w:before="60" w:after="60"/>
              <w:jc w:val="both"/>
              <w:rPr>
                <w:rFonts w:ascii="Tahoma" w:hAnsi="Tahoma" w:cs="Tahoma"/>
                <w:noProof/>
                <w:sz w:val="20"/>
                <w:szCs w:val="20"/>
              </w:rPr>
            </w:pPr>
            <w:r>
              <w:rPr>
                <w:rFonts w:ascii="Tahoma" w:hAnsi="Tahoma"/>
                <w:b/>
                <w:noProof/>
                <w:sz w:val="20"/>
              </w:rPr>
              <w:t>Какво предимство имат действията на равнище ЕС?</w:t>
            </w:r>
          </w:p>
        </w:tc>
      </w:tr>
      <w:tr w:rsidR="00232011">
        <w:tc>
          <w:tcPr>
            <w:tcW w:w="0" w:type="auto"/>
            <w:tcBorders>
              <w:bottom w:val="single" w:sz="4" w:space="0" w:color="auto"/>
            </w:tcBorders>
            <w:shd w:val="clear" w:color="auto" w:fill="auto"/>
          </w:tcPr>
          <w:p w:rsidR="00232011" w:rsidRDefault="006A0A3D">
            <w:pPr>
              <w:jc w:val="both"/>
              <w:rPr>
                <w:rFonts w:ascii="Arial" w:hAnsi="Arial" w:cs="Arial"/>
                <w:noProof/>
                <w:sz w:val="20"/>
                <w:szCs w:val="20"/>
              </w:rPr>
            </w:pPr>
            <w:r>
              <w:rPr>
                <w:rFonts w:ascii="Arial" w:hAnsi="Arial"/>
                <w:noProof/>
                <w:sz w:val="20"/>
              </w:rPr>
              <w:t>Един координиран подход на ЕС ще има следните предимства в сравнение с действия на национално или регионално равнище:</w:t>
            </w:r>
          </w:p>
          <w:p w:rsidR="00232011" w:rsidRDefault="006A0A3D">
            <w:pPr>
              <w:pStyle w:val="ListParagraph"/>
              <w:numPr>
                <w:ilvl w:val="0"/>
                <w:numId w:val="6"/>
              </w:numPr>
              <w:jc w:val="both"/>
              <w:rPr>
                <w:rFonts w:ascii="Arial" w:hAnsi="Arial" w:cs="Arial"/>
                <w:noProof/>
                <w:sz w:val="20"/>
                <w:szCs w:val="20"/>
              </w:rPr>
            </w:pPr>
            <w:r>
              <w:rPr>
                <w:rFonts w:ascii="Arial" w:hAnsi="Arial"/>
                <w:noProof/>
                <w:sz w:val="20"/>
              </w:rPr>
              <w:t xml:space="preserve">гарантиране на общосъюзна свързаност със скорост от 30 Mbps до 2020 г., която ще ще даде възможност за иновации при съществуващите </w:t>
            </w:r>
            <w:r>
              <w:rPr>
                <w:rFonts w:ascii="Arial" w:hAnsi="Arial"/>
                <w:noProof/>
                <w:sz w:val="20"/>
              </w:rPr>
              <w:t>услуги и ще осигури основа за нови услуги, които изискват повсеместна свързаност;</w:t>
            </w:r>
          </w:p>
          <w:p w:rsidR="00232011" w:rsidRDefault="006A0A3D">
            <w:pPr>
              <w:pStyle w:val="ListParagraph"/>
              <w:numPr>
                <w:ilvl w:val="0"/>
                <w:numId w:val="6"/>
              </w:numPr>
              <w:jc w:val="both"/>
              <w:rPr>
                <w:rFonts w:ascii="Arial" w:hAnsi="Arial" w:cs="Arial"/>
                <w:noProof/>
                <w:sz w:val="20"/>
                <w:szCs w:val="20"/>
              </w:rPr>
            </w:pPr>
            <w:r>
              <w:rPr>
                <w:rFonts w:ascii="Arial" w:hAnsi="Arial"/>
                <w:noProof/>
                <w:sz w:val="20"/>
              </w:rPr>
              <w:t>избягване на радиосмущенията между WBB и DTT;</w:t>
            </w:r>
          </w:p>
          <w:p w:rsidR="00232011" w:rsidRDefault="006A0A3D">
            <w:pPr>
              <w:pStyle w:val="ListParagraph"/>
              <w:numPr>
                <w:ilvl w:val="0"/>
                <w:numId w:val="6"/>
              </w:numPr>
              <w:jc w:val="both"/>
              <w:rPr>
                <w:rFonts w:ascii="Arial" w:hAnsi="Arial" w:cs="Arial"/>
                <w:noProof/>
                <w:sz w:val="20"/>
                <w:szCs w:val="20"/>
              </w:rPr>
            </w:pPr>
            <w:r>
              <w:rPr>
                <w:rFonts w:ascii="Arial" w:hAnsi="Arial"/>
                <w:noProof/>
                <w:sz w:val="20"/>
              </w:rPr>
              <w:t>извличане на икономии от мащаба на един почти глобален пазар за оборудване, приспособено за радиочестотната лента около 700 MHz.</w:t>
            </w:r>
          </w:p>
        </w:tc>
      </w:tr>
      <w:tr w:rsidR="00232011">
        <w:tc>
          <w:tcPr>
            <w:tcW w:w="0" w:type="auto"/>
            <w:tcBorders>
              <w:bottom w:val="single" w:sz="4" w:space="0" w:color="auto"/>
            </w:tcBorders>
            <w:shd w:val="clear" w:color="auto" w:fill="CCCCCC"/>
          </w:tcPr>
          <w:p w:rsidR="00232011" w:rsidRDefault="006A0A3D">
            <w:pPr>
              <w:spacing w:before="60" w:after="60"/>
              <w:jc w:val="center"/>
              <w:rPr>
                <w:rFonts w:ascii="Tahoma" w:hAnsi="Tahoma" w:cs="Tahoma"/>
                <w:b/>
                <w:noProof/>
                <w:sz w:val="22"/>
                <w:szCs w:val="22"/>
              </w:rPr>
            </w:pPr>
            <w:r>
              <w:rPr>
                <w:rFonts w:ascii="Tahoma" w:hAnsi="Tahoma"/>
                <w:b/>
                <w:noProof/>
                <w:sz w:val="22"/>
              </w:rPr>
              <w:t>Б. Решения</w:t>
            </w:r>
          </w:p>
        </w:tc>
      </w:tr>
      <w:tr w:rsidR="00232011">
        <w:tc>
          <w:tcPr>
            <w:tcW w:w="0" w:type="auto"/>
            <w:tcBorders>
              <w:bottom w:val="single" w:sz="4" w:space="0" w:color="auto"/>
            </w:tcBorders>
            <w:shd w:val="clear" w:color="auto" w:fill="E6E6E6"/>
          </w:tcPr>
          <w:p w:rsidR="00232011" w:rsidRDefault="006A0A3D">
            <w:pPr>
              <w:spacing w:before="60"/>
              <w:jc w:val="both"/>
              <w:rPr>
                <w:rFonts w:ascii="Tahoma" w:hAnsi="Tahoma" w:cs="Tahoma"/>
                <w:noProof/>
                <w:sz w:val="20"/>
                <w:szCs w:val="20"/>
              </w:rPr>
            </w:pPr>
            <w:r>
              <w:rPr>
                <w:rFonts w:ascii="Tahoma" w:hAnsi="Tahoma"/>
                <w:b/>
                <w:noProof/>
                <w:sz w:val="20"/>
              </w:rPr>
              <w:t>Кои са разгледаните законодателни и незаконодателни варианти на политиката?</w:t>
            </w:r>
            <w:r>
              <w:rPr>
                <w:rFonts w:ascii="Tahoma" w:hAnsi="Tahoma"/>
                <w:noProof/>
                <w:sz w:val="20"/>
              </w:rPr>
              <w:t xml:space="preserve"> </w:t>
            </w:r>
            <w:r>
              <w:rPr>
                <w:rFonts w:ascii="Tahoma" w:hAnsi="Tahoma"/>
                <w:b/>
                <w:noProof/>
                <w:sz w:val="20"/>
              </w:rPr>
              <w:t>Има ли предпочитан вариант или не? Защо?</w:t>
            </w:r>
          </w:p>
        </w:tc>
      </w:tr>
      <w:tr w:rsidR="00232011">
        <w:tc>
          <w:tcPr>
            <w:tcW w:w="0" w:type="auto"/>
            <w:tcBorders>
              <w:bottom w:val="single" w:sz="4" w:space="0" w:color="auto"/>
            </w:tcBorders>
            <w:shd w:val="clear" w:color="auto" w:fill="auto"/>
          </w:tcPr>
          <w:p w:rsidR="00232011" w:rsidRDefault="006A0A3D">
            <w:pPr>
              <w:jc w:val="both"/>
              <w:rPr>
                <w:rFonts w:ascii="Arial" w:hAnsi="Arial" w:cs="Arial"/>
                <w:noProof/>
                <w:sz w:val="20"/>
                <w:szCs w:val="20"/>
              </w:rPr>
            </w:pPr>
            <w:r>
              <w:rPr>
                <w:rFonts w:ascii="Arial" w:hAnsi="Arial"/>
                <w:noProof/>
                <w:sz w:val="20"/>
              </w:rPr>
              <w:t>Бяха разгледани следните 4 варианти на политика:</w:t>
            </w:r>
          </w:p>
          <w:p w:rsidR="00232011" w:rsidRDefault="00232011">
            <w:pPr>
              <w:jc w:val="both"/>
              <w:rPr>
                <w:rFonts w:ascii="Arial" w:hAnsi="Arial" w:cs="Arial"/>
                <w:noProof/>
                <w:sz w:val="16"/>
                <w:szCs w:val="16"/>
              </w:rPr>
            </w:pPr>
          </w:p>
          <w:p w:rsidR="00232011" w:rsidRDefault="006A0A3D">
            <w:pPr>
              <w:jc w:val="both"/>
              <w:rPr>
                <w:rFonts w:ascii="Arial" w:hAnsi="Arial" w:cs="Arial"/>
                <w:noProof/>
                <w:sz w:val="20"/>
                <w:szCs w:val="20"/>
              </w:rPr>
            </w:pPr>
            <w:r>
              <w:rPr>
                <w:rFonts w:ascii="Arial" w:hAnsi="Arial"/>
                <w:noProof/>
                <w:sz w:val="20"/>
              </w:rPr>
              <w:t xml:space="preserve">1 — </w:t>
            </w:r>
            <w:r>
              <w:rPr>
                <w:rFonts w:ascii="Arial" w:hAnsi="Arial"/>
                <w:b/>
                <w:noProof/>
                <w:sz w:val="20"/>
              </w:rPr>
              <w:t>Без действия от страна на ЕС</w:t>
            </w:r>
            <w:r>
              <w:rPr>
                <w:rFonts w:ascii="Arial" w:hAnsi="Arial"/>
                <w:noProof/>
                <w:sz w:val="20"/>
              </w:rPr>
              <w:t>: Страните от ЕС решават самостоятелно как</w:t>
            </w:r>
            <w:r>
              <w:rPr>
                <w:rFonts w:ascii="Arial" w:hAnsi="Arial"/>
                <w:noProof/>
                <w:sz w:val="20"/>
              </w:rPr>
              <w:t xml:space="preserve"> да разпределят услугите и да дават разрешения за честотната лента около 700 MHz (DTT и/или WBB), кои са наличните честоти и съответните технически характеристики и условия за достъп.</w:t>
            </w:r>
          </w:p>
          <w:p w:rsidR="00232011" w:rsidRDefault="00232011">
            <w:pPr>
              <w:jc w:val="both"/>
              <w:rPr>
                <w:rFonts w:ascii="Arial" w:hAnsi="Arial" w:cs="Arial"/>
                <w:noProof/>
                <w:sz w:val="16"/>
                <w:szCs w:val="16"/>
              </w:rPr>
            </w:pPr>
          </w:p>
          <w:p w:rsidR="00232011" w:rsidRDefault="006A0A3D">
            <w:pPr>
              <w:jc w:val="both"/>
              <w:rPr>
                <w:rFonts w:ascii="Arial" w:hAnsi="Arial" w:cs="Arial"/>
                <w:noProof/>
                <w:sz w:val="20"/>
                <w:szCs w:val="20"/>
              </w:rPr>
            </w:pPr>
            <w:r>
              <w:rPr>
                <w:rFonts w:ascii="Arial" w:hAnsi="Arial"/>
                <w:noProof/>
                <w:sz w:val="20"/>
              </w:rPr>
              <w:t xml:space="preserve">2 — </w:t>
            </w:r>
            <w:r>
              <w:rPr>
                <w:rFonts w:ascii="Arial" w:hAnsi="Arial"/>
                <w:b/>
                <w:noProof/>
                <w:sz w:val="20"/>
              </w:rPr>
              <w:t>Координирано определяне и разрешаване на използването на лентата ок</w:t>
            </w:r>
            <w:r>
              <w:rPr>
                <w:rFonts w:ascii="Arial" w:hAnsi="Arial"/>
                <w:b/>
                <w:noProof/>
                <w:sz w:val="20"/>
              </w:rPr>
              <w:t>оло 700 MHz</w:t>
            </w:r>
            <w:r>
              <w:rPr>
                <w:rFonts w:ascii="Arial" w:hAnsi="Arial"/>
                <w:noProof/>
                <w:sz w:val="20"/>
              </w:rPr>
              <w:t xml:space="preserve">. Това включва: </w:t>
            </w:r>
          </w:p>
          <w:p w:rsidR="00232011" w:rsidRDefault="006A0A3D">
            <w:pPr>
              <w:pStyle w:val="ListParagraph"/>
              <w:numPr>
                <w:ilvl w:val="0"/>
                <w:numId w:val="9"/>
              </w:numPr>
              <w:jc w:val="both"/>
              <w:rPr>
                <w:rFonts w:ascii="Arial" w:hAnsi="Arial" w:cs="Arial"/>
                <w:noProof/>
                <w:sz w:val="20"/>
                <w:szCs w:val="20"/>
              </w:rPr>
            </w:pPr>
            <w:r>
              <w:rPr>
                <w:rFonts w:ascii="Arial" w:hAnsi="Arial"/>
                <w:noProof/>
                <w:sz w:val="20"/>
              </w:rPr>
              <w:t xml:space="preserve">срок за предоставяне и за трансгранична координация; </w:t>
            </w:r>
          </w:p>
          <w:p w:rsidR="00232011" w:rsidRDefault="006A0A3D">
            <w:pPr>
              <w:pStyle w:val="ListParagraph"/>
              <w:numPr>
                <w:ilvl w:val="0"/>
                <w:numId w:val="9"/>
              </w:numPr>
              <w:jc w:val="both"/>
              <w:rPr>
                <w:rFonts w:ascii="Arial" w:hAnsi="Arial" w:cs="Arial"/>
                <w:noProof/>
                <w:sz w:val="20"/>
                <w:szCs w:val="20"/>
              </w:rPr>
            </w:pPr>
            <w:r>
              <w:rPr>
                <w:rFonts w:ascii="Arial" w:hAnsi="Arial"/>
                <w:noProof/>
                <w:sz w:val="20"/>
              </w:rPr>
              <w:t>обвързване на лицензиите за използване на лентата около 700 MHz със задължения за осигуряване на покритие;</w:t>
            </w:r>
          </w:p>
          <w:p w:rsidR="00232011" w:rsidRDefault="006A0A3D">
            <w:pPr>
              <w:pStyle w:val="ListParagraph"/>
              <w:numPr>
                <w:ilvl w:val="0"/>
                <w:numId w:val="9"/>
              </w:numPr>
              <w:jc w:val="both"/>
              <w:rPr>
                <w:rFonts w:ascii="Arial" w:hAnsi="Arial" w:cs="Arial"/>
                <w:noProof/>
                <w:sz w:val="20"/>
                <w:szCs w:val="20"/>
              </w:rPr>
            </w:pPr>
            <w:r>
              <w:rPr>
                <w:rFonts w:ascii="Arial" w:hAnsi="Arial"/>
                <w:noProof/>
                <w:sz w:val="20"/>
              </w:rPr>
              <w:t>резервиране на лентата под 700 MHz за DTT и звукови приложения за P</w:t>
            </w:r>
            <w:r>
              <w:rPr>
                <w:rFonts w:ascii="Arial" w:hAnsi="Arial"/>
                <w:noProof/>
                <w:sz w:val="20"/>
              </w:rPr>
              <w:t xml:space="preserve">MSE. </w:t>
            </w:r>
          </w:p>
          <w:p w:rsidR="00232011" w:rsidRDefault="006A0A3D">
            <w:pPr>
              <w:jc w:val="both"/>
              <w:rPr>
                <w:rFonts w:ascii="Arial" w:hAnsi="Arial" w:cs="Arial"/>
                <w:noProof/>
                <w:sz w:val="20"/>
                <w:szCs w:val="20"/>
              </w:rPr>
            </w:pPr>
            <w:r>
              <w:rPr>
                <w:rFonts w:ascii="Arial" w:hAnsi="Arial"/>
                <w:noProof/>
                <w:sz w:val="20"/>
              </w:rPr>
              <w:lastRenderedPageBreak/>
              <w:t>Предвижда се оценка на пазара на равнище ЕС до 2025 г. с оглед на евентуално преразглеждане на правилата за лентата под 700 MHz.</w:t>
            </w:r>
          </w:p>
          <w:p w:rsidR="00232011" w:rsidRDefault="00232011">
            <w:pPr>
              <w:jc w:val="both"/>
              <w:rPr>
                <w:rFonts w:ascii="Arial" w:hAnsi="Arial" w:cs="Arial"/>
                <w:noProof/>
                <w:sz w:val="16"/>
                <w:szCs w:val="16"/>
              </w:rPr>
            </w:pPr>
          </w:p>
          <w:p w:rsidR="00232011" w:rsidRDefault="006A0A3D">
            <w:pPr>
              <w:jc w:val="both"/>
              <w:rPr>
                <w:rFonts w:ascii="Arial" w:hAnsi="Arial" w:cs="Arial"/>
                <w:noProof/>
                <w:sz w:val="20"/>
                <w:szCs w:val="20"/>
              </w:rPr>
            </w:pPr>
            <w:r>
              <w:rPr>
                <w:rFonts w:ascii="Arial" w:hAnsi="Arial"/>
                <w:noProof/>
                <w:sz w:val="20"/>
              </w:rPr>
              <w:t xml:space="preserve">3 — </w:t>
            </w:r>
            <w:r>
              <w:rPr>
                <w:rFonts w:ascii="Arial" w:hAnsi="Arial"/>
                <w:b/>
                <w:noProof/>
                <w:sz w:val="20"/>
              </w:rPr>
              <w:t>Координирано определяне и разрешаване на използването на лентата около 700 MHz</w:t>
            </w:r>
            <w:r>
              <w:rPr>
                <w:rFonts w:ascii="Arial" w:hAnsi="Arial"/>
                <w:noProof/>
                <w:sz w:val="20"/>
              </w:rPr>
              <w:t xml:space="preserve"> </w:t>
            </w:r>
            <w:r>
              <w:rPr>
                <w:rFonts w:ascii="Arial" w:hAnsi="Arial"/>
                <w:b/>
                <w:noProof/>
                <w:sz w:val="20"/>
              </w:rPr>
              <w:t xml:space="preserve">(както във вариант 2) и координирано </w:t>
            </w:r>
            <w:r>
              <w:rPr>
                <w:rFonts w:ascii="Arial" w:hAnsi="Arial"/>
                <w:b/>
                <w:noProof/>
                <w:sz w:val="20"/>
              </w:rPr>
              <w:t>определяне на лентата под 700 MHz</w:t>
            </w:r>
            <w:r>
              <w:rPr>
                <w:rFonts w:ascii="Arial" w:hAnsi="Arial"/>
                <w:noProof/>
                <w:sz w:val="20"/>
              </w:rPr>
              <w:t xml:space="preserve"> за предаване само в права посока, при условие че предоставянето на аудио-визуални медийни услуги (AVMS) на широката публика, включително безплатно за гледане съдържание, и звуковите приложения за PMSE бъдат защитени, ако е</w:t>
            </w:r>
            <w:r>
              <w:rPr>
                <w:rFonts w:ascii="Arial" w:hAnsi="Arial"/>
                <w:noProof/>
                <w:sz w:val="20"/>
              </w:rPr>
              <w:t xml:space="preserve"> налице търсене на национално равнище.</w:t>
            </w:r>
          </w:p>
          <w:p w:rsidR="00232011" w:rsidRDefault="006A0A3D">
            <w:pPr>
              <w:jc w:val="both"/>
              <w:rPr>
                <w:rFonts w:ascii="Arial" w:hAnsi="Arial" w:cs="Arial"/>
                <w:noProof/>
                <w:sz w:val="20"/>
                <w:szCs w:val="20"/>
              </w:rPr>
            </w:pPr>
            <w:r>
              <w:rPr>
                <w:rFonts w:ascii="Arial" w:hAnsi="Arial"/>
                <w:noProof/>
                <w:sz w:val="20"/>
              </w:rPr>
              <w:t>Предвижда се оценка на пазара на равнище ЕС до 2025 г. с оглед на евентуално преразглеждане на правилата за лентата под 700 MHz.</w:t>
            </w:r>
          </w:p>
          <w:p w:rsidR="00232011" w:rsidRDefault="00232011">
            <w:pPr>
              <w:jc w:val="both"/>
              <w:rPr>
                <w:rFonts w:ascii="Arial" w:hAnsi="Arial" w:cs="Arial"/>
                <w:noProof/>
                <w:sz w:val="16"/>
                <w:szCs w:val="16"/>
              </w:rPr>
            </w:pPr>
          </w:p>
          <w:p w:rsidR="00232011" w:rsidRDefault="006A0A3D">
            <w:pPr>
              <w:jc w:val="both"/>
              <w:rPr>
                <w:rFonts w:ascii="Arial" w:hAnsi="Arial" w:cs="Arial"/>
                <w:noProof/>
                <w:sz w:val="20"/>
                <w:szCs w:val="20"/>
              </w:rPr>
            </w:pPr>
            <w:r>
              <w:rPr>
                <w:rFonts w:ascii="Arial" w:hAnsi="Arial"/>
                <w:noProof/>
                <w:sz w:val="20"/>
              </w:rPr>
              <w:t xml:space="preserve">4 — </w:t>
            </w:r>
            <w:r>
              <w:rPr>
                <w:rFonts w:ascii="Arial" w:hAnsi="Arial"/>
                <w:b/>
                <w:noProof/>
                <w:sz w:val="20"/>
              </w:rPr>
              <w:t xml:space="preserve">Координирано определяне и разрешаване до 2020 г. на използването на целия </w:t>
            </w:r>
            <w:r>
              <w:rPr>
                <w:rFonts w:ascii="Arial" w:hAnsi="Arial"/>
                <w:b/>
                <w:noProof/>
                <w:sz w:val="20"/>
              </w:rPr>
              <w:t>дециметров обхват</w:t>
            </w:r>
            <w:r>
              <w:rPr>
                <w:rFonts w:ascii="Arial" w:hAnsi="Arial"/>
                <w:noProof/>
                <w:sz w:val="20"/>
              </w:rPr>
              <w:t xml:space="preserve"> за WBB услуги.</w:t>
            </w:r>
          </w:p>
          <w:p w:rsidR="00232011" w:rsidRDefault="00232011">
            <w:pPr>
              <w:jc w:val="both"/>
              <w:rPr>
                <w:rFonts w:ascii="Arial" w:hAnsi="Arial" w:cs="Arial"/>
                <w:noProof/>
                <w:sz w:val="16"/>
                <w:szCs w:val="16"/>
              </w:rPr>
            </w:pPr>
          </w:p>
          <w:p w:rsidR="00232011" w:rsidRDefault="006A0A3D">
            <w:pPr>
              <w:jc w:val="both"/>
              <w:rPr>
                <w:rFonts w:ascii="Arial" w:hAnsi="Arial" w:cs="Arial"/>
                <w:noProof/>
                <w:sz w:val="20"/>
                <w:szCs w:val="20"/>
              </w:rPr>
            </w:pPr>
            <w:r>
              <w:rPr>
                <w:rFonts w:ascii="Arial" w:hAnsi="Arial"/>
                <w:noProof/>
                <w:sz w:val="20"/>
              </w:rPr>
              <w:t>Вариант 3 е предпочитаният вариант, тъй като осигурява балансирано и гъвкаво решение в услуга на цифровата икономика и европейския аудио-визуален модел, както и предимства за гражданите.</w:t>
            </w:r>
          </w:p>
          <w:p w:rsidR="00232011" w:rsidRDefault="00232011">
            <w:pPr>
              <w:jc w:val="both"/>
              <w:rPr>
                <w:rFonts w:ascii="Arial" w:hAnsi="Arial" w:cs="Arial"/>
                <w:noProof/>
                <w:sz w:val="20"/>
                <w:szCs w:val="20"/>
              </w:rPr>
            </w:pPr>
          </w:p>
        </w:tc>
      </w:tr>
      <w:tr w:rsidR="00232011">
        <w:tc>
          <w:tcPr>
            <w:tcW w:w="0" w:type="auto"/>
            <w:shd w:val="clear" w:color="auto" w:fill="CCCCCC"/>
          </w:tcPr>
          <w:p w:rsidR="00232011" w:rsidRDefault="006A0A3D">
            <w:pPr>
              <w:spacing w:before="60"/>
              <w:jc w:val="both"/>
              <w:rPr>
                <w:rFonts w:ascii="Tahoma" w:hAnsi="Tahoma" w:cs="Tahoma"/>
                <w:noProof/>
                <w:sz w:val="20"/>
                <w:szCs w:val="20"/>
              </w:rPr>
            </w:pPr>
            <w:r>
              <w:rPr>
                <w:rFonts w:ascii="Tahoma" w:hAnsi="Tahoma"/>
                <w:b/>
                <w:noProof/>
                <w:sz w:val="20"/>
              </w:rPr>
              <w:lastRenderedPageBreak/>
              <w:t xml:space="preserve">Кой подкрепя отделните варианти? </w:t>
            </w:r>
            <w:r>
              <w:rPr>
                <w:rFonts w:ascii="Tahoma" w:hAnsi="Tahoma"/>
                <w:noProof/>
                <w:sz w:val="20"/>
                <w:u w:val="single"/>
              </w:rPr>
              <w:t xml:space="preserve"> </w:t>
            </w:r>
            <w:r>
              <w:rPr>
                <w:rFonts w:ascii="Tahoma" w:hAnsi="Tahoma"/>
                <w:noProof/>
                <w:sz w:val="20"/>
              </w:rPr>
              <w:t xml:space="preserve"> </w:t>
            </w:r>
          </w:p>
        </w:tc>
      </w:tr>
      <w:tr w:rsidR="00232011">
        <w:tc>
          <w:tcPr>
            <w:tcW w:w="0" w:type="auto"/>
            <w:shd w:val="clear" w:color="auto" w:fill="auto"/>
            <w:noWrap/>
          </w:tcPr>
          <w:p w:rsidR="00232011" w:rsidRDefault="006A0A3D">
            <w:pPr>
              <w:jc w:val="both"/>
              <w:rPr>
                <w:rFonts w:ascii="Arial" w:hAnsi="Arial" w:cs="Arial"/>
                <w:noProof/>
                <w:sz w:val="20"/>
                <w:szCs w:val="20"/>
              </w:rPr>
            </w:pPr>
            <w:r>
              <w:rPr>
                <w:rFonts w:ascii="Arial" w:hAnsi="Arial"/>
                <w:noProof/>
                <w:sz w:val="20"/>
              </w:rPr>
              <w:t>Радиотелевизионният и медийният отрасли споделят заключенията на доклада Лами</w:t>
            </w:r>
            <w:r>
              <w:rPr>
                <w:rStyle w:val="FootnoteReference"/>
                <w:rFonts w:ascii="Arial" w:hAnsi="Arial"/>
                <w:noProof/>
                <w:sz w:val="20"/>
              </w:rPr>
              <w:footnoteReference w:id="1"/>
            </w:r>
            <w:r>
              <w:rPr>
                <w:rFonts w:ascii="Arial" w:hAnsi="Arial"/>
                <w:noProof/>
                <w:sz w:val="20"/>
              </w:rPr>
              <w:t>. Този доклад е в основата на предпочитания вариант 3, тъй като препоръчва координирано определяне и разрешаване на използването на честотната лента около 700 MHz и гъвкав по</w:t>
            </w:r>
            <w:r>
              <w:rPr>
                <w:rFonts w:ascii="Arial" w:hAnsi="Arial"/>
                <w:noProof/>
                <w:sz w:val="20"/>
              </w:rPr>
              <w:t xml:space="preserve">дход за тази под 700 MHz. При този подход традиционните услуги за радиоразпръскване се предлагат успоредно с безжичните широколентови услуги при режим предаване само в права посока. </w:t>
            </w:r>
          </w:p>
          <w:p w:rsidR="00232011" w:rsidRDefault="00232011">
            <w:pPr>
              <w:jc w:val="both"/>
              <w:rPr>
                <w:rFonts w:ascii="Arial" w:hAnsi="Arial" w:cs="Arial"/>
                <w:noProof/>
                <w:sz w:val="20"/>
                <w:szCs w:val="20"/>
              </w:rPr>
            </w:pPr>
          </w:p>
          <w:p w:rsidR="00232011" w:rsidRDefault="006A0A3D">
            <w:pPr>
              <w:jc w:val="both"/>
              <w:rPr>
                <w:rFonts w:ascii="Arial" w:hAnsi="Arial" w:cs="Arial"/>
                <w:noProof/>
                <w:sz w:val="20"/>
                <w:szCs w:val="20"/>
              </w:rPr>
            </w:pPr>
            <w:r>
              <w:rPr>
                <w:rFonts w:ascii="Arial" w:hAnsi="Arial"/>
                <w:noProof/>
                <w:sz w:val="20"/>
              </w:rPr>
              <w:t>Представители на държавите — членки на ЕС, в групата по политиката в обл</w:t>
            </w:r>
            <w:r>
              <w:rPr>
                <w:rFonts w:ascii="Arial" w:hAnsi="Arial"/>
                <w:noProof/>
                <w:sz w:val="20"/>
              </w:rPr>
              <w:t>астта на радиочестотния спектър (RSPG) приеха становище на RSPG</w:t>
            </w:r>
            <w:r>
              <w:rPr>
                <w:rStyle w:val="FootnoteReference"/>
                <w:rFonts w:ascii="Arial" w:hAnsi="Arial"/>
                <w:noProof/>
                <w:sz w:val="20"/>
              </w:rPr>
              <w:footnoteReference w:id="2"/>
            </w:r>
            <w:r>
              <w:rPr>
                <w:rFonts w:ascii="Arial" w:hAnsi="Arial"/>
                <w:noProof/>
                <w:sz w:val="20"/>
              </w:rPr>
              <w:t>, в което подкрепят варианта за координиран подход на равнище ЕС при промяната в използването на честотната лента около 700 MHz. Това включва:</w:t>
            </w:r>
          </w:p>
          <w:p w:rsidR="00232011" w:rsidRDefault="006A0A3D">
            <w:pPr>
              <w:jc w:val="both"/>
              <w:rPr>
                <w:rFonts w:ascii="Arial" w:hAnsi="Arial" w:cs="Arial"/>
                <w:noProof/>
                <w:sz w:val="20"/>
                <w:szCs w:val="20"/>
              </w:rPr>
            </w:pPr>
            <w:r>
              <w:rPr>
                <w:rFonts w:ascii="Arial" w:hAnsi="Arial"/>
                <w:noProof/>
                <w:sz w:val="20"/>
              </w:rPr>
              <w:t>— хармонизиране на техническите условия за използ</w:t>
            </w:r>
            <w:r>
              <w:rPr>
                <w:rFonts w:ascii="Arial" w:hAnsi="Arial"/>
                <w:noProof/>
                <w:sz w:val="20"/>
              </w:rPr>
              <w:t xml:space="preserve">ване на WBB в радиочестотната лента около 700 MHz; </w:t>
            </w:r>
          </w:p>
          <w:p w:rsidR="00232011" w:rsidRDefault="006A0A3D">
            <w:pPr>
              <w:jc w:val="both"/>
              <w:rPr>
                <w:rFonts w:ascii="Arial" w:hAnsi="Arial" w:cs="Arial"/>
                <w:noProof/>
                <w:sz w:val="20"/>
                <w:szCs w:val="20"/>
              </w:rPr>
            </w:pPr>
            <w:r>
              <w:rPr>
                <w:rFonts w:ascii="Arial" w:hAnsi="Arial"/>
                <w:noProof/>
                <w:sz w:val="20"/>
              </w:rPr>
              <w:t>— определяне на общ краен срок за освобождаване на радиочестотната лента около 700 MHz;  както и</w:t>
            </w:r>
          </w:p>
          <w:p w:rsidR="00232011" w:rsidRDefault="006A0A3D">
            <w:pPr>
              <w:jc w:val="both"/>
              <w:rPr>
                <w:rFonts w:ascii="Arial" w:hAnsi="Arial" w:cs="Arial"/>
                <w:noProof/>
                <w:sz w:val="20"/>
                <w:szCs w:val="20"/>
              </w:rPr>
            </w:pPr>
            <w:r>
              <w:rPr>
                <w:rFonts w:ascii="Arial" w:hAnsi="Arial"/>
                <w:noProof/>
                <w:sz w:val="20"/>
              </w:rPr>
              <w:t>— гъвкаво използване на радиочестотната лента под 700 MHz.</w:t>
            </w:r>
          </w:p>
          <w:p w:rsidR="00232011" w:rsidRDefault="00232011">
            <w:pPr>
              <w:jc w:val="both"/>
              <w:rPr>
                <w:rFonts w:ascii="Arial" w:hAnsi="Arial" w:cs="Arial"/>
                <w:noProof/>
                <w:sz w:val="20"/>
                <w:szCs w:val="20"/>
              </w:rPr>
            </w:pPr>
          </w:p>
          <w:p w:rsidR="00232011" w:rsidRDefault="006A0A3D">
            <w:pPr>
              <w:jc w:val="both"/>
              <w:rPr>
                <w:rFonts w:ascii="Arial" w:hAnsi="Arial" w:cs="Arial"/>
                <w:noProof/>
                <w:sz w:val="20"/>
                <w:szCs w:val="20"/>
              </w:rPr>
            </w:pPr>
            <w:r>
              <w:rPr>
                <w:rFonts w:ascii="Arial" w:hAnsi="Arial"/>
                <w:noProof/>
                <w:sz w:val="20"/>
              </w:rPr>
              <w:t xml:space="preserve">И по двата документа бяха проведени обществени </w:t>
            </w:r>
            <w:r>
              <w:rPr>
                <w:rFonts w:ascii="Arial" w:hAnsi="Arial"/>
                <w:noProof/>
                <w:sz w:val="20"/>
              </w:rPr>
              <w:t>консултации и респондентите изразиха подкрепа за координация на равнище ЕС.</w:t>
            </w:r>
          </w:p>
        </w:tc>
      </w:tr>
      <w:tr w:rsidR="00232011">
        <w:tc>
          <w:tcPr>
            <w:tcW w:w="0" w:type="auto"/>
            <w:tcBorders>
              <w:bottom w:val="single" w:sz="4" w:space="0" w:color="auto"/>
            </w:tcBorders>
            <w:shd w:val="clear" w:color="auto" w:fill="CCCCCC"/>
          </w:tcPr>
          <w:p w:rsidR="00232011" w:rsidRDefault="006A0A3D">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rsidR="00232011">
        <w:tc>
          <w:tcPr>
            <w:tcW w:w="0" w:type="auto"/>
            <w:tcBorders>
              <w:bottom w:val="single" w:sz="4" w:space="0" w:color="auto"/>
            </w:tcBorders>
            <w:shd w:val="clear" w:color="auto" w:fill="E6E6E6"/>
          </w:tcPr>
          <w:p w:rsidR="00232011" w:rsidRDefault="006A0A3D">
            <w:pPr>
              <w:spacing w:before="60" w:after="60"/>
              <w:jc w:val="both"/>
              <w:rPr>
                <w:rFonts w:ascii="Tahoma" w:hAnsi="Tahoma" w:cs="Tahoma"/>
                <w:noProof/>
                <w:sz w:val="20"/>
                <w:szCs w:val="20"/>
              </w:rPr>
            </w:pPr>
            <w:r>
              <w:rPr>
                <w:b/>
                <w:noProof/>
              </w:rPr>
              <w:t>Какви са предимствата на предпочитания вариант (ако има такива, освен основните предимства)?</w:t>
            </w:r>
          </w:p>
        </w:tc>
      </w:tr>
      <w:tr w:rsidR="00232011">
        <w:tc>
          <w:tcPr>
            <w:tcW w:w="0" w:type="auto"/>
            <w:tcBorders>
              <w:bottom w:val="single" w:sz="4" w:space="0" w:color="auto"/>
            </w:tcBorders>
            <w:shd w:val="clear" w:color="auto" w:fill="auto"/>
          </w:tcPr>
          <w:p w:rsidR="00232011" w:rsidRDefault="006A0A3D">
            <w:pPr>
              <w:jc w:val="both"/>
              <w:rPr>
                <w:rFonts w:ascii="Arial" w:hAnsi="Arial" w:cs="Arial"/>
                <w:noProof/>
                <w:sz w:val="20"/>
                <w:szCs w:val="20"/>
              </w:rPr>
            </w:pPr>
            <w:r>
              <w:rPr>
                <w:rFonts w:ascii="Arial" w:hAnsi="Arial"/>
                <w:noProof/>
                <w:sz w:val="20"/>
              </w:rPr>
              <w:t>Вариант 3:</w:t>
            </w:r>
          </w:p>
          <w:p w:rsidR="00232011" w:rsidRDefault="006A0A3D">
            <w:pPr>
              <w:pStyle w:val="ListParagraph"/>
              <w:numPr>
                <w:ilvl w:val="0"/>
                <w:numId w:val="7"/>
              </w:numPr>
              <w:jc w:val="both"/>
              <w:rPr>
                <w:rFonts w:ascii="Arial" w:hAnsi="Arial" w:cs="Arial"/>
                <w:noProof/>
                <w:sz w:val="20"/>
                <w:szCs w:val="20"/>
              </w:rPr>
            </w:pPr>
            <w:r>
              <w:rPr>
                <w:rFonts w:ascii="Arial" w:hAnsi="Arial"/>
                <w:noProof/>
                <w:sz w:val="20"/>
              </w:rPr>
              <w:t xml:space="preserve">осигурява допълнителен </w:t>
            </w:r>
            <w:r>
              <w:rPr>
                <w:rFonts w:ascii="Arial" w:hAnsi="Arial"/>
                <w:noProof/>
                <w:sz w:val="20"/>
              </w:rPr>
              <w:t>хармонизиран на равнище ЕС радиочестотен спектър за WBB и изпълнява поставената за спектъра цел в Програмата за политиката в областта на радиочестотния спектър (RSPP);</w:t>
            </w:r>
          </w:p>
          <w:p w:rsidR="00232011" w:rsidRDefault="006A0A3D">
            <w:pPr>
              <w:pStyle w:val="ListParagraph"/>
              <w:numPr>
                <w:ilvl w:val="0"/>
                <w:numId w:val="7"/>
              </w:numPr>
              <w:jc w:val="both"/>
              <w:rPr>
                <w:rFonts w:ascii="Arial" w:hAnsi="Arial" w:cs="Arial"/>
                <w:noProof/>
                <w:sz w:val="20"/>
                <w:szCs w:val="20"/>
              </w:rPr>
            </w:pPr>
            <w:r>
              <w:rPr>
                <w:rFonts w:ascii="Arial" w:hAnsi="Arial"/>
                <w:noProof/>
                <w:sz w:val="20"/>
              </w:rPr>
              <w:t>допринася за постигането на целите за свързаност на DSM и на целите за широколентов дост</w:t>
            </w:r>
            <w:r>
              <w:rPr>
                <w:rFonts w:ascii="Arial" w:hAnsi="Arial"/>
                <w:noProof/>
                <w:sz w:val="20"/>
              </w:rPr>
              <w:t>ъп в DAE;</w:t>
            </w:r>
          </w:p>
          <w:p w:rsidR="00232011" w:rsidRDefault="006A0A3D">
            <w:pPr>
              <w:pStyle w:val="ListParagraph"/>
              <w:numPr>
                <w:ilvl w:val="0"/>
                <w:numId w:val="7"/>
              </w:numPr>
              <w:jc w:val="both"/>
              <w:rPr>
                <w:rFonts w:ascii="Arial" w:hAnsi="Arial" w:cs="Arial"/>
                <w:noProof/>
                <w:sz w:val="20"/>
                <w:szCs w:val="20"/>
              </w:rPr>
            </w:pPr>
            <w:r>
              <w:rPr>
                <w:rFonts w:ascii="Arial" w:hAnsi="Arial"/>
                <w:noProof/>
                <w:sz w:val="20"/>
              </w:rPr>
              <w:t>намалява разпокъсаността в използването на дециметровия обхват за радиоразпръскване и предотвратява радиосмущенията между WBB и DTT;</w:t>
            </w:r>
          </w:p>
          <w:p w:rsidR="00232011" w:rsidRDefault="006A0A3D">
            <w:pPr>
              <w:pStyle w:val="ListParagraph"/>
              <w:numPr>
                <w:ilvl w:val="0"/>
                <w:numId w:val="7"/>
              </w:numPr>
              <w:jc w:val="both"/>
              <w:rPr>
                <w:rFonts w:ascii="Arial" w:hAnsi="Arial" w:cs="Arial"/>
                <w:noProof/>
                <w:sz w:val="20"/>
                <w:szCs w:val="20"/>
              </w:rPr>
            </w:pPr>
            <w:r>
              <w:rPr>
                <w:rFonts w:ascii="Arial" w:hAnsi="Arial"/>
                <w:noProof/>
                <w:sz w:val="20"/>
              </w:rPr>
              <w:t>създава условия за иновации и пренасочване на пазара към по-ефективни технологии;</w:t>
            </w:r>
          </w:p>
          <w:p w:rsidR="00232011" w:rsidRDefault="006A0A3D">
            <w:pPr>
              <w:pStyle w:val="ListParagraph"/>
              <w:numPr>
                <w:ilvl w:val="0"/>
                <w:numId w:val="7"/>
              </w:numPr>
              <w:jc w:val="both"/>
              <w:rPr>
                <w:rFonts w:ascii="Arial" w:hAnsi="Arial" w:cs="Arial"/>
                <w:noProof/>
                <w:sz w:val="20"/>
                <w:szCs w:val="20"/>
              </w:rPr>
            </w:pPr>
            <w:r>
              <w:rPr>
                <w:rFonts w:ascii="Arial" w:hAnsi="Arial"/>
                <w:noProof/>
                <w:sz w:val="20"/>
              </w:rPr>
              <w:t>създава условия за адаптиране к</w:t>
            </w:r>
            <w:r>
              <w:rPr>
                <w:rFonts w:ascii="Arial" w:hAnsi="Arial"/>
                <w:noProof/>
                <w:sz w:val="20"/>
              </w:rPr>
              <w:t>ъм нови форми на аудио-визуално потребление, запазвайки досегашния модел с безплатно за гледане съдържание;</w:t>
            </w:r>
          </w:p>
          <w:p w:rsidR="00232011" w:rsidRDefault="006A0A3D">
            <w:pPr>
              <w:pStyle w:val="ListParagraph"/>
              <w:numPr>
                <w:ilvl w:val="0"/>
                <w:numId w:val="7"/>
              </w:numPr>
              <w:jc w:val="both"/>
              <w:rPr>
                <w:rFonts w:ascii="Arial" w:hAnsi="Arial" w:cs="Arial"/>
                <w:i/>
                <w:noProof/>
                <w:sz w:val="20"/>
                <w:szCs w:val="20"/>
              </w:rPr>
            </w:pPr>
            <w:r>
              <w:rPr>
                <w:rFonts w:ascii="Arial" w:hAnsi="Arial"/>
                <w:noProof/>
                <w:sz w:val="20"/>
              </w:rPr>
              <w:t>осигурява на държавите от ЕС гъвкавост за отваряне на радиочестотната лента под 700 MHz за употреби, различни от DTT и звукови приложения за PMSE, к</w:t>
            </w:r>
            <w:r>
              <w:rPr>
                <w:rFonts w:ascii="Arial" w:hAnsi="Arial"/>
                <w:noProof/>
                <w:sz w:val="20"/>
              </w:rPr>
              <w:t>огато това е възможно, и гарантира запазването на тези употреби;</w:t>
            </w:r>
          </w:p>
          <w:p w:rsidR="00232011" w:rsidRDefault="006A0A3D">
            <w:pPr>
              <w:pStyle w:val="ListParagraph"/>
              <w:numPr>
                <w:ilvl w:val="0"/>
                <w:numId w:val="7"/>
              </w:numPr>
              <w:jc w:val="both"/>
              <w:rPr>
                <w:rFonts w:ascii="Arial" w:hAnsi="Arial" w:cs="Arial"/>
                <w:i/>
                <w:noProof/>
                <w:sz w:val="20"/>
                <w:szCs w:val="20"/>
              </w:rPr>
            </w:pPr>
            <w:r>
              <w:rPr>
                <w:rFonts w:ascii="Arial" w:hAnsi="Arial"/>
                <w:noProof/>
                <w:sz w:val="20"/>
              </w:rPr>
              <w:t>укрепва позицията на ЕС в международни преговори за бъдещото използване на радиочестотната лента под 700 MHz.</w:t>
            </w:r>
          </w:p>
        </w:tc>
      </w:tr>
      <w:tr w:rsidR="00232011">
        <w:tc>
          <w:tcPr>
            <w:tcW w:w="0" w:type="auto"/>
            <w:tcBorders>
              <w:bottom w:val="single" w:sz="4" w:space="0" w:color="auto"/>
            </w:tcBorders>
            <w:shd w:val="clear" w:color="auto" w:fill="E6E6E6"/>
          </w:tcPr>
          <w:p w:rsidR="00232011" w:rsidRDefault="006A0A3D">
            <w:pPr>
              <w:spacing w:before="60" w:after="60"/>
              <w:jc w:val="both"/>
              <w:rPr>
                <w:rFonts w:ascii="Tahoma" w:hAnsi="Tahoma" w:cs="Tahoma"/>
                <w:noProof/>
                <w:sz w:val="20"/>
                <w:szCs w:val="20"/>
              </w:rPr>
            </w:pPr>
            <w:r>
              <w:rPr>
                <w:rFonts w:ascii="Tahoma" w:hAnsi="Tahoma"/>
                <w:b/>
                <w:noProof/>
                <w:sz w:val="20"/>
              </w:rPr>
              <w:t xml:space="preserve">Какви са разходите при предпочитания вариант (ако има такива, освен основните </w:t>
            </w:r>
            <w:r>
              <w:rPr>
                <w:rFonts w:ascii="Tahoma" w:hAnsi="Tahoma"/>
                <w:b/>
                <w:noProof/>
                <w:sz w:val="20"/>
              </w:rPr>
              <w:t>разходи)?</w:t>
            </w:r>
            <w:r>
              <w:rPr>
                <w:rFonts w:ascii="Tahoma" w:hAnsi="Tahoma"/>
                <w:noProof/>
                <w:sz w:val="20"/>
              </w:rPr>
              <w:t xml:space="preserve"> </w:t>
            </w:r>
            <w:r>
              <w:rPr>
                <w:rFonts w:ascii="Tahoma" w:hAnsi="Tahoma"/>
                <w:noProof/>
                <w:sz w:val="20"/>
                <w:u w:val="single"/>
              </w:rPr>
              <w:t xml:space="preserve"> </w:t>
            </w:r>
            <w:r>
              <w:rPr>
                <w:rFonts w:ascii="Tahoma" w:hAnsi="Tahoma"/>
                <w:noProof/>
                <w:sz w:val="20"/>
              </w:rPr>
              <w:t xml:space="preserve">                                      </w:t>
            </w:r>
          </w:p>
        </w:tc>
      </w:tr>
      <w:tr w:rsidR="00232011">
        <w:tc>
          <w:tcPr>
            <w:tcW w:w="0" w:type="auto"/>
            <w:tcBorders>
              <w:bottom w:val="single" w:sz="4" w:space="0" w:color="auto"/>
            </w:tcBorders>
            <w:shd w:val="clear" w:color="auto" w:fill="auto"/>
          </w:tcPr>
          <w:p w:rsidR="00232011" w:rsidRDefault="006A0A3D">
            <w:pPr>
              <w:jc w:val="both"/>
              <w:rPr>
                <w:rFonts w:ascii="Arial" w:hAnsi="Arial" w:cs="Arial"/>
                <w:i/>
                <w:noProof/>
                <w:sz w:val="20"/>
                <w:szCs w:val="20"/>
              </w:rPr>
            </w:pPr>
            <w:r>
              <w:rPr>
                <w:rFonts w:ascii="Arial" w:hAnsi="Arial"/>
                <w:noProof/>
                <w:sz w:val="20"/>
              </w:rPr>
              <w:t>Доставчиците на DTT (публични и частни) и потребителите на звукови приложения за PMSE ще се лишат от още една част от радиочестотния спектър в дециметровия обхват (освен вече пренасочената за други цели ра</w:t>
            </w:r>
            <w:r>
              <w:rPr>
                <w:rFonts w:ascii="Arial" w:hAnsi="Arial"/>
                <w:noProof/>
                <w:sz w:val="20"/>
              </w:rPr>
              <w:t>диочестотна лента около 800 MHz). Преходът към радиочестотната лента под 700 MHz ще породи разходи по преконфигуриране на мрежите за радиоразпръскване. Операторите на мрежи за DTT ще трябва да преминат в кратък период от време към технологии, използващи на</w:t>
            </w:r>
            <w:r>
              <w:rPr>
                <w:rFonts w:ascii="Arial" w:hAnsi="Arial"/>
                <w:noProof/>
                <w:sz w:val="20"/>
              </w:rPr>
              <w:t xml:space="preserve">й-ефикасно радиочестотния спектър, </w:t>
            </w:r>
            <w:r>
              <w:rPr>
                <w:rFonts w:ascii="Arial" w:hAnsi="Arial"/>
                <w:noProof/>
                <w:sz w:val="20"/>
              </w:rPr>
              <w:lastRenderedPageBreak/>
              <w:t>ако желаят да запазят (или подобрят) настоящото разнообразие и качество на предаваните програми. Потребителите ще бъдат принудени да пренастроят или подменят оборудването си (цифровия си телевизионен декодер, а в някои сл</w:t>
            </w:r>
            <w:r>
              <w:rPr>
                <w:rFonts w:ascii="Arial" w:hAnsi="Arial"/>
                <w:noProof/>
                <w:sz w:val="20"/>
              </w:rPr>
              <w:t>учаи и антената си), за да продължат да приемат услугите на цифровата наземна телевизия.</w:t>
            </w:r>
          </w:p>
        </w:tc>
      </w:tr>
      <w:tr w:rsidR="00232011">
        <w:tc>
          <w:tcPr>
            <w:tcW w:w="0" w:type="auto"/>
            <w:tcBorders>
              <w:bottom w:val="single" w:sz="4" w:space="0" w:color="auto"/>
            </w:tcBorders>
            <w:shd w:val="clear" w:color="auto" w:fill="E6E6E6"/>
          </w:tcPr>
          <w:p w:rsidR="00232011" w:rsidRDefault="006A0A3D">
            <w:pPr>
              <w:spacing w:before="60" w:after="60"/>
              <w:jc w:val="both"/>
              <w:rPr>
                <w:rFonts w:ascii="Tahoma" w:hAnsi="Tahoma" w:cs="Tahoma"/>
                <w:noProof/>
                <w:sz w:val="20"/>
                <w:szCs w:val="20"/>
              </w:rPr>
            </w:pPr>
            <w:r>
              <w:rPr>
                <w:rFonts w:ascii="Tahoma" w:hAnsi="Tahoma"/>
                <w:b/>
                <w:noProof/>
                <w:sz w:val="20"/>
              </w:rPr>
              <w:lastRenderedPageBreak/>
              <w:t>Какви ще са последиците за съответните фирми, малки и средни предприятия и микропредприятия?</w:t>
            </w:r>
          </w:p>
        </w:tc>
      </w:tr>
      <w:tr w:rsidR="00232011">
        <w:tc>
          <w:tcPr>
            <w:tcW w:w="0" w:type="auto"/>
            <w:tcBorders>
              <w:bottom w:val="single" w:sz="4" w:space="0" w:color="auto"/>
            </w:tcBorders>
            <w:shd w:val="clear" w:color="auto" w:fill="auto"/>
          </w:tcPr>
          <w:p w:rsidR="00232011" w:rsidRDefault="006A0A3D">
            <w:pPr>
              <w:jc w:val="both"/>
              <w:rPr>
                <w:rFonts w:ascii="Arial" w:hAnsi="Arial" w:cs="Arial"/>
                <w:noProof/>
                <w:sz w:val="20"/>
                <w:szCs w:val="20"/>
              </w:rPr>
            </w:pPr>
            <w:r>
              <w:rPr>
                <w:rFonts w:ascii="Arial" w:hAnsi="Arial"/>
                <w:noProof/>
                <w:sz w:val="20"/>
              </w:rPr>
              <w:t xml:space="preserve">От една страна, по-голямата част от произвеждащите културно и творческо </w:t>
            </w:r>
            <w:r>
              <w:rPr>
                <w:rFonts w:ascii="Arial" w:hAnsi="Arial"/>
                <w:noProof/>
                <w:sz w:val="20"/>
              </w:rPr>
              <w:t>съдържание са МСП. Най-засегнатата категория са ползвателите на звукови приложения за PMSE, за които ще са налични значително по-малко „бели зони“ за реализиране и запис на програми и прояви. От друга страна, много МСП, свързани с безжичния широколентов се</w:t>
            </w:r>
            <w:r>
              <w:rPr>
                <w:rFonts w:ascii="Arial" w:hAnsi="Arial"/>
                <w:noProof/>
                <w:sz w:val="20"/>
              </w:rPr>
              <w:t>ктор, ще се възползват от допълнителен радиочестотен спектър и това ще стимулира бизнеса им.</w:t>
            </w:r>
          </w:p>
          <w:p w:rsidR="00232011" w:rsidRDefault="00232011">
            <w:pPr>
              <w:jc w:val="both"/>
              <w:rPr>
                <w:rFonts w:ascii="Arial" w:hAnsi="Arial" w:cs="Arial"/>
                <w:noProof/>
                <w:sz w:val="20"/>
                <w:szCs w:val="20"/>
              </w:rPr>
            </w:pPr>
          </w:p>
          <w:p w:rsidR="00232011" w:rsidRDefault="006A0A3D">
            <w:pPr>
              <w:jc w:val="both"/>
              <w:rPr>
                <w:rFonts w:ascii="Arial" w:hAnsi="Arial" w:cs="Arial"/>
                <w:i/>
                <w:noProof/>
                <w:sz w:val="20"/>
                <w:szCs w:val="20"/>
              </w:rPr>
            </w:pPr>
            <w:r>
              <w:rPr>
                <w:rFonts w:ascii="Arial" w:hAnsi="Arial"/>
                <w:noProof/>
                <w:sz w:val="20"/>
              </w:rPr>
              <w:t>Комисията гарантира, посредством Решение за изпълнение от 2014 г.</w:t>
            </w:r>
            <w:r>
              <w:rPr>
                <w:rStyle w:val="FootnoteReference"/>
                <w:rFonts w:ascii="Arial" w:hAnsi="Arial"/>
                <w:noProof/>
                <w:sz w:val="20"/>
              </w:rPr>
              <w:footnoteReference w:id="3"/>
            </w:r>
            <w:r>
              <w:rPr>
                <w:rFonts w:ascii="Arial" w:hAnsi="Arial"/>
                <w:noProof/>
                <w:sz w:val="20"/>
              </w:rPr>
              <w:t>, наличието на базови радиочестоти за звукови приложения за PMSE. Освен това Комисията ще поиска</w:t>
            </w:r>
            <w:r>
              <w:rPr>
                <w:rFonts w:ascii="Arial" w:hAnsi="Arial"/>
                <w:noProof/>
                <w:sz w:val="20"/>
              </w:rPr>
              <w:t xml:space="preserve"> становището на RSPG относно разработената от нея стратегия на ЕС за услугите за PMSE. При вариант 3, страните от ЕС могат да решат да използват част от радиочестотната лента около 700 MHz (до 25 MHz в т. нар. „дуплексно отстояние“) за PMSE.</w:t>
            </w:r>
          </w:p>
        </w:tc>
      </w:tr>
      <w:tr w:rsidR="00232011">
        <w:tc>
          <w:tcPr>
            <w:tcW w:w="0" w:type="auto"/>
            <w:tcBorders>
              <w:bottom w:val="single" w:sz="4" w:space="0" w:color="auto"/>
            </w:tcBorders>
            <w:shd w:val="clear" w:color="auto" w:fill="E6E6E6"/>
          </w:tcPr>
          <w:p w:rsidR="00232011" w:rsidRDefault="006A0A3D">
            <w:pPr>
              <w:spacing w:before="60"/>
              <w:jc w:val="both"/>
              <w:rPr>
                <w:rFonts w:ascii="Tahoma" w:hAnsi="Tahoma" w:cs="Tahoma"/>
                <w:b/>
                <w:i/>
                <w:noProof/>
                <w:sz w:val="20"/>
                <w:szCs w:val="20"/>
              </w:rPr>
            </w:pPr>
            <w:r>
              <w:rPr>
                <w:b/>
                <w:noProof/>
              </w:rPr>
              <w:t>Ще има ли зна</w:t>
            </w:r>
            <w:r>
              <w:rPr>
                <w:b/>
                <w:noProof/>
              </w:rPr>
              <w:t>чително отражение върху националните бюджети и администрации?</w:t>
            </w:r>
          </w:p>
        </w:tc>
      </w:tr>
      <w:tr w:rsidR="00232011">
        <w:tc>
          <w:tcPr>
            <w:tcW w:w="0" w:type="auto"/>
            <w:shd w:val="clear" w:color="auto" w:fill="auto"/>
          </w:tcPr>
          <w:p w:rsidR="00232011" w:rsidRDefault="006A0A3D">
            <w:pPr>
              <w:jc w:val="both"/>
              <w:rPr>
                <w:rFonts w:ascii="Arial" w:hAnsi="Arial" w:cs="Arial"/>
                <w:noProof/>
                <w:sz w:val="20"/>
                <w:szCs w:val="20"/>
              </w:rPr>
            </w:pPr>
            <w:r>
              <w:rPr>
                <w:rFonts w:ascii="Arial" w:hAnsi="Arial"/>
                <w:noProof/>
                <w:sz w:val="20"/>
              </w:rPr>
              <w:t xml:space="preserve">Разходите и предимствата за националните органи ще зависят от приложимата национална нормативна уредба, т.е. от възможностите и условията за оттегляне, подновяване или изменение на лицензии </w:t>
            </w:r>
            <w:r>
              <w:rPr>
                <w:rFonts w:ascii="Arial" w:hAnsi="Arial"/>
                <w:noProof/>
                <w:sz w:val="20"/>
              </w:rPr>
              <w:t>и/или от други административни разходи. Редица страни от ЕС ще трябва да отнемат или да изменят действащи лицензии в радиочестотната лента около 700 MHz, за да се позволи преход в този обхват към мобилни широколентови услуги. Макар че от търгове биха постъ</w:t>
            </w:r>
            <w:r>
              <w:rPr>
                <w:rFonts w:ascii="Arial" w:hAnsi="Arial"/>
                <w:noProof/>
                <w:sz w:val="20"/>
              </w:rPr>
              <w:t>пили публични приходи, може да се наложи отпускането на средства от националния бюджет за евентуални мерки за публично подпомагане, за да се модернизира оборудването на крайните потребители.</w:t>
            </w:r>
          </w:p>
        </w:tc>
      </w:tr>
      <w:tr w:rsidR="00232011">
        <w:tc>
          <w:tcPr>
            <w:tcW w:w="0" w:type="auto"/>
            <w:tcBorders>
              <w:bottom w:val="single" w:sz="4" w:space="0" w:color="auto"/>
            </w:tcBorders>
            <w:shd w:val="clear" w:color="auto" w:fill="E6E6E6"/>
          </w:tcPr>
          <w:p w:rsidR="00232011" w:rsidRDefault="006A0A3D">
            <w:pPr>
              <w:spacing w:before="60"/>
              <w:jc w:val="both"/>
              <w:rPr>
                <w:rFonts w:ascii="Tahoma" w:hAnsi="Tahoma" w:cs="Tahoma"/>
                <w:b/>
                <w:i/>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r>
              <w:rPr>
                <w:rFonts w:ascii="Tahoma" w:hAnsi="Tahoma"/>
                <w:noProof/>
                <w:sz w:val="20"/>
                <w:u w:val="single"/>
              </w:rPr>
              <w:t xml:space="preserve"> </w:t>
            </w:r>
          </w:p>
        </w:tc>
      </w:tr>
      <w:tr w:rsidR="00232011">
        <w:tc>
          <w:tcPr>
            <w:tcW w:w="0" w:type="auto"/>
            <w:tcBorders>
              <w:bottom w:val="single" w:sz="4" w:space="0" w:color="auto"/>
            </w:tcBorders>
            <w:shd w:val="clear" w:color="auto" w:fill="auto"/>
          </w:tcPr>
          <w:p w:rsidR="00232011" w:rsidRDefault="006A0A3D">
            <w:pPr>
              <w:jc w:val="both"/>
              <w:rPr>
                <w:rFonts w:ascii="Arial" w:hAnsi="Arial" w:cs="Arial"/>
                <w:noProof/>
                <w:sz w:val="20"/>
                <w:szCs w:val="20"/>
              </w:rPr>
            </w:pPr>
            <w:r>
              <w:rPr>
                <w:rFonts w:ascii="Arial" w:hAnsi="Arial"/>
                <w:noProof/>
                <w:sz w:val="20"/>
              </w:rPr>
              <w:t xml:space="preserve">Не. </w:t>
            </w:r>
          </w:p>
        </w:tc>
      </w:tr>
      <w:tr w:rsidR="00232011">
        <w:tc>
          <w:tcPr>
            <w:tcW w:w="0" w:type="auto"/>
            <w:tcBorders>
              <w:bottom w:val="single" w:sz="4" w:space="0" w:color="auto"/>
            </w:tcBorders>
            <w:shd w:val="clear" w:color="auto" w:fill="C0C0C0"/>
          </w:tcPr>
          <w:p w:rsidR="00232011" w:rsidRDefault="006A0A3D">
            <w:pPr>
              <w:spacing w:before="60" w:after="60"/>
              <w:jc w:val="center"/>
              <w:rPr>
                <w:rFonts w:ascii="Tahoma" w:hAnsi="Tahoma" w:cs="Tahoma"/>
                <w:b/>
                <w:noProof/>
                <w:sz w:val="22"/>
                <w:szCs w:val="22"/>
              </w:rPr>
            </w:pPr>
            <w:r>
              <w:rPr>
                <w:rFonts w:ascii="Tahoma" w:hAnsi="Tahoma"/>
                <w:b/>
                <w:noProof/>
                <w:sz w:val="22"/>
              </w:rPr>
              <w:t xml:space="preserve">Г. Последващи </w:t>
            </w:r>
            <w:r>
              <w:rPr>
                <w:rFonts w:ascii="Tahoma" w:hAnsi="Tahoma"/>
                <w:b/>
                <w:noProof/>
                <w:sz w:val="22"/>
              </w:rPr>
              <w:t>действия</w:t>
            </w:r>
          </w:p>
        </w:tc>
      </w:tr>
      <w:tr w:rsidR="00232011">
        <w:tc>
          <w:tcPr>
            <w:tcW w:w="0" w:type="auto"/>
            <w:tcBorders>
              <w:bottom w:val="single" w:sz="4" w:space="0" w:color="auto"/>
            </w:tcBorders>
            <w:shd w:val="clear" w:color="auto" w:fill="E6E6E6"/>
          </w:tcPr>
          <w:p w:rsidR="00232011" w:rsidRDefault="006A0A3D">
            <w:pPr>
              <w:spacing w:before="60"/>
              <w:jc w:val="both"/>
              <w:rPr>
                <w:rFonts w:ascii="Tahoma" w:hAnsi="Tahoma" w:cs="Tahoma"/>
                <w:noProof/>
                <w:sz w:val="20"/>
                <w:szCs w:val="20"/>
              </w:rPr>
            </w:pPr>
            <w:r>
              <w:rPr>
                <w:rFonts w:ascii="Tahoma" w:hAnsi="Tahoma"/>
                <w:b/>
                <w:noProof/>
                <w:sz w:val="20"/>
              </w:rPr>
              <w:t xml:space="preserve">Кога ще бъде следващото преразглеждане на политиката? </w:t>
            </w:r>
            <w:r>
              <w:rPr>
                <w:rFonts w:ascii="Tahoma" w:hAnsi="Tahoma"/>
                <w:noProof/>
                <w:sz w:val="20"/>
                <w:u w:val="single"/>
              </w:rPr>
              <w:t xml:space="preserve"> </w:t>
            </w:r>
            <w:r>
              <w:rPr>
                <w:rFonts w:ascii="Tahoma" w:hAnsi="Tahoma"/>
                <w:noProof/>
                <w:sz w:val="20"/>
              </w:rPr>
              <w:t xml:space="preserve"> </w:t>
            </w:r>
          </w:p>
        </w:tc>
      </w:tr>
      <w:tr w:rsidR="00232011">
        <w:tc>
          <w:tcPr>
            <w:tcW w:w="0" w:type="auto"/>
            <w:tcBorders>
              <w:bottom w:val="single" w:sz="4" w:space="0" w:color="auto"/>
            </w:tcBorders>
            <w:shd w:val="clear" w:color="auto" w:fill="auto"/>
          </w:tcPr>
          <w:p w:rsidR="00232011" w:rsidRDefault="006A0A3D">
            <w:pPr>
              <w:jc w:val="both"/>
              <w:rPr>
                <w:rFonts w:ascii="Tahoma" w:hAnsi="Tahoma" w:cs="Tahoma"/>
                <w:b/>
                <w:noProof/>
                <w:sz w:val="20"/>
                <w:szCs w:val="20"/>
              </w:rPr>
            </w:pPr>
            <w:r>
              <w:rPr>
                <w:rFonts w:ascii="Arial" w:hAnsi="Arial"/>
                <w:noProof/>
                <w:sz w:val="20"/>
              </w:rPr>
              <w:t xml:space="preserve">Развитието на пазара при използването на радиочестотната лента под 700 MHz ще бъде оценено до 2025 г. в процес на равнище ЕС, организиран от Комисията, и регулаторната рамка може да претърпи промени, ако е необходимо. </w:t>
            </w:r>
          </w:p>
        </w:tc>
      </w:tr>
    </w:tbl>
    <w:p w:rsidR="00232011" w:rsidRDefault="00232011">
      <w:pPr>
        <w:rPr>
          <w:noProof/>
        </w:rPr>
      </w:pPr>
    </w:p>
    <w:sectPr w:rsidR="00232011">
      <w:headerReference w:type="even" r:id="rId19"/>
      <w:headerReference w:type="default" r:id="rId20"/>
      <w:footerReference w:type="even" r:id="rId21"/>
      <w:footerReference w:type="default" r:id="rId22"/>
      <w:headerReference w:type="first" r:id="rId23"/>
      <w:footerReference w:type="first" r:id="rId24"/>
      <w:pgSz w:w="11906" w:h="16838" w:code="9"/>
      <w:pgMar w:top="614" w:right="567" w:bottom="624" w:left="1134" w:header="284" w:footer="2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A3D" w:rsidRDefault="006A0A3D">
      <w:r>
        <w:separator/>
      </w:r>
    </w:p>
  </w:endnote>
  <w:endnote w:type="continuationSeparator" w:id="0">
    <w:p w:rsidR="006A0A3D" w:rsidRDefault="006A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11" w:rsidRDefault="002320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11" w:rsidRDefault="006A0A3D">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11" w:rsidRDefault="0023201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11" w:rsidRDefault="0023201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11" w:rsidRDefault="0023201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11" w:rsidRDefault="00232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A3D" w:rsidRDefault="006A0A3D">
      <w:r>
        <w:separator/>
      </w:r>
    </w:p>
  </w:footnote>
  <w:footnote w:type="continuationSeparator" w:id="0">
    <w:p w:rsidR="006A0A3D" w:rsidRDefault="006A0A3D">
      <w:r>
        <w:continuationSeparator/>
      </w:r>
    </w:p>
  </w:footnote>
  <w:footnote w:id="1">
    <w:p w:rsidR="00232011" w:rsidRDefault="006A0A3D">
      <w:pPr>
        <w:pStyle w:val="FootnoteText"/>
      </w:pPr>
      <w:r>
        <w:rPr>
          <w:rStyle w:val="FootnoteReference"/>
        </w:rPr>
        <w:footnoteRef/>
      </w:r>
      <w:r>
        <w:t xml:space="preserve"> </w:t>
      </w:r>
      <w:r>
        <w:tab/>
        <w:t xml:space="preserve">Доклад от Паскал Лами относно „Резултатите от работата на групата на високо равнище за бъдещото използване на </w:t>
      </w:r>
      <w:proofErr w:type="spellStart"/>
      <w:r>
        <w:t>дециметровия</w:t>
      </w:r>
      <w:proofErr w:type="spellEnd"/>
      <w:r>
        <w:t xml:space="preserve"> обхват (UHF) (470—790 </w:t>
      </w:r>
      <w:proofErr w:type="spellStart"/>
      <w:r>
        <w:t>MHz</w:t>
      </w:r>
      <w:proofErr w:type="spellEnd"/>
      <w:r>
        <w:t>)“</w:t>
      </w:r>
      <w:r>
        <w:t xml:space="preserve">: </w:t>
      </w:r>
      <w:hyperlink r:id="rId1">
        <w:r>
          <w:rPr>
            <w:rStyle w:val="Hyperlink"/>
          </w:rPr>
          <w:t>http://ec.europa.eu/digital-agenda/en/news/report-results-work-high-level-group-future-use-uhf-band</w:t>
        </w:r>
      </w:hyperlink>
      <w:r>
        <w:t xml:space="preserve"> </w:t>
      </w:r>
    </w:p>
  </w:footnote>
  <w:footnote w:id="2">
    <w:p w:rsidR="00232011" w:rsidRDefault="006A0A3D">
      <w:pPr>
        <w:pStyle w:val="FootnoteText"/>
      </w:pPr>
      <w:r>
        <w:rPr>
          <w:rStyle w:val="FootnoteReference"/>
        </w:rPr>
        <w:footnoteRef/>
      </w:r>
      <w:r>
        <w:t xml:space="preserve"> </w:t>
      </w:r>
      <w:r>
        <w:tab/>
      </w:r>
      <w:r>
        <w:t>Становище на RSPG относно „Дълг</w:t>
      </w:r>
      <w:r>
        <w:t xml:space="preserve">осрочна стратегия за бъдещото използване на </w:t>
      </w:r>
      <w:proofErr w:type="spellStart"/>
      <w:r>
        <w:t>дециметровия</w:t>
      </w:r>
      <w:proofErr w:type="spellEnd"/>
      <w:r>
        <w:t xml:space="preserve"> обхват (470—790 </w:t>
      </w:r>
      <w:proofErr w:type="spellStart"/>
      <w:r>
        <w:t>MHz</w:t>
      </w:r>
      <w:proofErr w:type="spellEnd"/>
      <w:r>
        <w:t>) в Европейския съюз“ (документ RSPG14-585(rev1)).</w:t>
      </w:r>
    </w:p>
  </w:footnote>
  <w:footnote w:id="3">
    <w:p w:rsidR="00232011" w:rsidRDefault="006A0A3D">
      <w:pPr>
        <w:pStyle w:val="FootnoteText"/>
      </w:pPr>
      <w:r>
        <w:rPr>
          <w:rStyle w:val="FootnoteReference"/>
        </w:rPr>
        <w:footnoteRef/>
      </w:r>
      <w:r>
        <w:t xml:space="preserve"> </w:t>
      </w:r>
      <w:r>
        <w:tab/>
      </w:r>
      <w:r>
        <w:t>Решение 2014/641/ЕС на Комисията.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11" w:rsidRDefault="002320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11" w:rsidRDefault="0023201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11" w:rsidRDefault="0023201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11" w:rsidRDefault="0023201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11" w:rsidRDefault="002320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011" w:rsidRDefault="006A0A3D">
    <w:pPr>
      <w:pStyle w:val="Header"/>
    </w:pPr>
    <w:r>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C3684"/>
    <w:multiLevelType w:val="hybridMultilevel"/>
    <w:tmpl w:val="4ED83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nsid w:val="2D240745"/>
    <w:multiLevelType w:val="hybridMultilevel"/>
    <w:tmpl w:val="3946A1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3DD97237"/>
    <w:multiLevelType w:val="hybridMultilevel"/>
    <w:tmpl w:val="D602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0D4831"/>
    <w:multiLevelType w:val="hybridMultilevel"/>
    <w:tmpl w:val="A434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6">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8">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5"/>
  </w:num>
  <w:num w:numId="4">
    <w:abstractNumId w:val="6"/>
  </w:num>
  <w:num w:numId="5">
    <w:abstractNumId w:val="7"/>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7?\u1088?\u1080?\u1076?\u1088?\u1091?\u1078?\u1072?\u1074?\u1072?\u1097?"/>
    <w:docVar w:name="LW_CONFIDENCE" w:val=" "/>
    <w:docVar w:name="LW_CONST_RESTREINT_UE" w:val="RESTREINT UE"/>
    <w:docVar w:name="LW_CORRIGENDUM" w:val="&lt;UNUSED&gt;"/>
    <w:docVar w:name="LW_COVERPAGE_GUID" w:val="CB99C4A200A64D91878D27B136872F14"/>
    <w:docVar w:name="LW_CROSSREFERENCE" w:val="{COM(2016) 43 final}_x000b_{SWD(2016) 20 final}"/>
    <w:docVar w:name="LW_DocType" w:val="NORMAL"/>
    <w:docVar w:name="LW_EMISSION" w:val="2.2.2016"/>
    <w:docVar w:name="LW_EMISSION_ISODATE" w:val="2016-02-02"/>
    <w:docVar w:name="LW_EMISSION_LOCATION" w:val="BRX"/>
    <w:docVar w:name="LW_EMISSION_PREFIX" w:val="Брюксел, "/>
    <w:docVar w:name="LW_EMISSION_SUFFIX" w:val=" \u1075?."/>
    <w:docVar w:name="LW_ID_DOCTYPE_NONLW" w:val="CP-027"/>
    <w:docVar w:name="LW_LANGUE" w:val="BG"/>
    <w:docVar w:name="LW_MARKING" w:val="&lt;UNUSED&gt;"/>
    <w:docVar w:name="LW_NOM.INST" w:val="\u1045?\u1042?\u1056?\u1054?\u1055?\u1045?\u1049?\u1057?\u1050?\u1040? \u1050?\u1054?\u1052?\u1048?\u1057?\u1048?\u1071?"/>
    <w:docVar w:name="LW_NOM.INST_JOINTDOC" w:val="&lt;EMPTY&gt;"/>
    <w:docVar w:name="LW_OBJETACTEPRINCIPAL.CP" w:val="\u1055?\u1088?\u1077?\u1076?\u1083?\u1086?\u1078?\u1077?\u1085?\u1080?\u1077? \u1079?\u1072? \u1088?\u1077?\u1096?\u1077?\u1085?\u1080?\u1077? \u1085?\u1072? \u1045?\u1074?\u1088?\u1086?\u1087?\u1077?\u1081?\u1089?\u1082?\u1080?\u1103? \u1087?\u1072?\u1088?\u1083?\u1072?\u1084?\u1077?\u1085?\u1090? \u1080? \u1085?\u1072? \u1057?\u1098?\u1074?\u1077?\u1090?\u1072? \u1079?\u1072? \u1080?\u1079?\u1087?\u1086?\u1083?\u1079?\u1074?\u1072?\u1085?\u1077?\u1090?\u1086? \u1085?\u1072? \u1088?\u1072?\u1076?\u1080?\u1086?\u1095?\u1077?\u1089?\u1090?\u1086?\u1090?\u1085?\u1072?\u1090?\u1072? \u1083?\u1077?\u1085?\u1090?\u1072? 470\u8212?790 MHz \u1074? \u1057?\u1098?\u1102?\u1079?\u1072?"/>
    <w:docVar w:name="LW_PART_NBR" w:val="1"/>
    <w:docVar w:name="LW_PART_NBR_TOTAL" w:val="1"/>
    <w:docVar w:name="LW_REF.INST.NEW" w:val="SWD"/>
    <w:docVar w:name="LW_REF.INST.NEW_ADOPTED" w:val="final"/>
    <w:docVar w:name="LW_REF.INST.NEW_TEXT" w:val="(2016) 19"/>
    <w:docVar w:name="LW_REF.INTERNE" w:val="&lt;UNUSED&gt;"/>
    <w:docVar w:name="LW_SUPERTITRE" w:val="&lt;UNUSED&gt;"/>
    <w:docVar w:name="LW_TITRE.OBJ.CP" w:val="\u1079?\u1072? \u1080?\u1079?\u1087?\u1086?\u1083?\u1079?\u1074?\u1072?\u1085?\u1077?\u1090?\u1086? \u1085?\u1072? \u1088?\u1072?\u1076?\u1080?\u1086?\u1095?\u1077?\u1089?\u1090?\u1086?\u1090?\u1085?\u1072?\u1090?\u1072? \u1083?\u1077?\u1085?\u1090?\u1072? 470\u8212?790 MHz \u1074? \u1057?\u1098?\u1102?\u1079?\u1072?"/>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4?\u1094?\u1077?\u1085?\u1082?\u1072? \u1085?\u1072? \u1074?\u1098?\u1079?\u1076?\u1077?\u1081?\u1089?\u1090?\u1074?\u1080?\u1077?\u1090?\u1086?"/>
    <w:docVar w:name="Stamp" w:val="\\dossiers.dgt.cec.eu.int\dossiers\CNECT\CNECT-2015-00066\CNECT-2015-00066-00-01-EN-REV-00.DOCX"/>
  </w:docVars>
  <w:rsids>
    <w:rsidRoot w:val="00232011"/>
    <w:rsid w:val="00042016"/>
    <w:rsid w:val="00232011"/>
    <w:rsid w:val="006A0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Cs w:val="22"/>
    </w:rPr>
  </w:style>
  <w:style w:type="character" w:customStyle="1" w:styleId="FooterCoverPageChar">
    <w:name w:val="Footer Cover Page Char"/>
    <w:basedOn w:val="DefaultParagraphFont"/>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jc w:val="both"/>
    </w:pPr>
    <w:rPr>
      <w:szCs w:val="22"/>
    </w:rPr>
  </w:style>
  <w:style w:type="character" w:customStyle="1" w:styleId="HeaderCoverPageChar">
    <w:name w:val="Header Cover Page Char"/>
    <w:basedOn w:val="DefaultParagraphFont"/>
    <w:link w:val="HeaderCoverPage"/>
    <w:rPr>
      <w:sz w:val="24"/>
      <w:szCs w:val="22"/>
    </w:rPr>
  </w:style>
  <w:style w:type="character" w:styleId="Hyperlink">
    <w:name w:val="Hyperlink"/>
    <w:basedOn w:val="DefaultParagraphFont"/>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szCs w:val="22"/>
    </w:rPr>
  </w:style>
  <w:style w:type="character" w:customStyle="1" w:styleId="FooterCoverPageChar">
    <w:name w:val="Footer Cover Page Char"/>
    <w:basedOn w:val="DefaultParagraphFont"/>
    <w:link w:val="FooterCoverPage"/>
    <w:rPr>
      <w:sz w:val="24"/>
      <w:szCs w:val="22"/>
    </w:rPr>
  </w:style>
  <w:style w:type="paragraph" w:customStyle="1" w:styleId="HeaderCoverPage">
    <w:name w:val="Header Cover Page"/>
    <w:basedOn w:val="Normal"/>
    <w:link w:val="HeaderCoverPageChar"/>
    <w:pPr>
      <w:tabs>
        <w:tab w:val="center" w:pos="4535"/>
        <w:tab w:val="right" w:pos="9071"/>
      </w:tabs>
      <w:spacing w:after="120"/>
      <w:jc w:val="both"/>
    </w:pPr>
    <w:rPr>
      <w:szCs w:val="22"/>
    </w:rPr>
  </w:style>
  <w:style w:type="character" w:customStyle="1" w:styleId="HeaderCoverPageChar">
    <w:name w:val="Header Cover Page Char"/>
    <w:basedOn w:val="DefaultParagraphFont"/>
    <w:link w:val="HeaderCoverPage"/>
    <w:rPr>
      <w:sz w:val="24"/>
      <w:szCs w:val="22"/>
    </w:rPr>
  </w:style>
  <w:style w:type="character" w:styleId="Hyperlink">
    <w:name w:val="Hyperlink"/>
    <w:basedOn w:val="DefaultParagraphFont"/>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28141">
      <w:bodyDiv w:val="1"/>
      <w:marLeft w:val="0"/>
      <w:marRight w:val="0"/>
      <w:marTop w:val="0"/>
      <w:marBottom w:val="0"/>
      <w:divBdr>
        <w:top w:val="none" w:sz="0" w:space="0" w:color="auto"/>
        <w:left w:val="none" w:sz="0" w:space="0" w:color="auto"/>
        <w:bottom w:val="none" w:sz="0" w:space="0" w:color="auto"/>
        <w:right w:val="none" w:sz="0" w:space="0" w:color="auto"/>
      </w:divBdr>
    </w:div>
    <w:div w:id="128753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igital-agenda/en/news/report-results-work-high-level-group-future-use-uhf-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73a644a4-4769-4216-8725-4481bf1ee92e">EN</EC_Collab_DocumentLanguage>
    <_Status xmlns="http://schemas.microsoft.com/sharepoint/v3/fields">Not Started</_Status>
    <EC_Collab_Reference xmlns="73a644a4-4769-4216-8725-4481bf1ee92e" xsi:nil="true"/>
    <EC_Collab_Status xmlns="73a644a4-4769-4216-8725-4481bf1ee92e">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EF2E72EDE1A3142AEE2C668D5465E94" ma:contentTypeVersion="0" ma:contentTypeDescription="Create a new document in this library." ma:contentTypeScope="" ma:versionID="be14e0cfff95c339fe8bd24bbe2b06db">
  <xsd:schema xmlns:xsd="http://www.w3.org/2001/XMLSchema" xmlns:xs="http://www.w3.org/2001/XMLSchema" xmlns:p="http://schemas.microsoft.com/office/2006/metadata/properties" xmlns:ns2="http://schemas.microsoft.com/sharepoint/v3/fields" xmlns:ns3="73a644a4-4769-4216-8725-4481bf1ee92e" targetNamespace="http://schemas.microsoft.com/office/2006/metadata/properties" ma:root="true" ma:fieldsID="04af5789f8cdd468acdffef9d96c062b" ns2:_="" ns3:_="">
    <xsd:import namespace="http://schemas.microsoft.com/sharepoint/v3/fields"/>
    <xsd:import namespace="73a644a4-4769-4216-8725-4481bf1ee92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3a644a4-4769-4216-8725-4481bf1ee92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5762-F950-4CD3-ACCE-B0287CEB0CEE}">
  <ds:schemaRefs>
    <ds:schemaRef ds:uri="http://schemas.microsoft.com/office/2006/metadata/properties"/>
    <ds:schemaRef ds:uri="http://schemas.microsoft.com/office/infopath/2007/PartnerControls"/>
    <ds:schemaRef ds:uri="73a644a4-4769-4216-8725-4481bf1ee92e"/>
    <ds:schemaRef ds:uri="http://schemas.microsoft.com/sharepoint/v3/fields"/>
  </ds:schemaRefs>
</ds:datastoreItem>
</file>

<file path=customXml/itemProps2.xml><?xml version="1.0" encoding="utf-8"?>
<ds:datastoreItem xmlns:ds="http://schemas.openxmlformats.org/officeDocument/2006/customXml" ds:itemID="{CD2C0D72-8126-4898-A0E1-7D6C547EDD2D}">
  <ds:schemaRefs>
    <ds:schemaRef ds:uri="http://schemas.microsoft.com/sharepoint/v3/contenttype/forms"/>
  </ds:schemaRefs>
</ds:datastoreItem>
</file>

<file path=customXml/itemProps3.xml><?xml version="1.0" encoding="utf-8"?>
<ds:datastoreItem xmlns:ds="http://schemas.openxmlformats.org/officeDocument/2006/customXml" ds:itemID="{2234AE9D-91C0-4ECB-966C-CC81A3A4C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3a644a4-4769-4216-8725-4481bf1ee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33FD8-87F0-48E4-B00C-077F3FEF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Dimitar Dimitrov</dc:creator>
  <dc:description>Word version of the IA Summary 2-pager template given in pdf form on pp. 52-53 of the BR Toolbox</dc:description>
  <cp:lastModifiedBy>Dimitar Dimitrov</cp:lastModifiedBy>
  <cp:revision>2</cp:revision>
  <cp:lastPrinted>2015-12-14T13:02:00Z</cp:lastPrinted>
  <dcterms:created xsi:type="dcterms:W3CDTF">2016-02-03T08:24:00Z</dcterms:created>
  <dcterms:modified xsi:type="dcterms:W3CDTF">2016-02-03T08:24:00Z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ffisync_UniqueId">
    <vt:lpwstr>9109</vt:lpwstr>
  </property>
  <property fmtid="{D5CDD505-2E9C-101B-9397-08002B2CF9AE}" pid="4" name="Offisync_ProviderInitializationData">
    <vt:lpwstr>https://connected.cnect.cec.eu.int</vt:lpwstr>
  </property>
  <property fmtid="{D5CDD505-2E9C-101B-9397-08002B2CF9AE}" pid="5" name="Jive_VersionGuid">
    <vt:lpwstr>11a951dc-9725-43e6-9875-a8fe5fa9bd3e</vt:lpwstr>
  </property>
  <property fmtid="{D5CDD505-2E9C-101B-9397-08002B2CF9AE}" pid="6" name="Offisync_UpdateToken">
    <vt:lpwstr>2</vt:lpwstr>
  </property>
  <property fmtid="{D5CDD505-2E9C-101B-9397-08002B2CF9AE}" pid="7" name="Offisync_ServerID">
    <vt:lpwstr>0d3b22a6-6203-4efc-8e8e-b5279256493b</vt:lpwstr>
  </property>
  <property fmtid="{D5CDD505-2E9C-101B-9397-08002B2CF9AE}" pid="8" name="Jive_LatestUserAccountName">
    <vt:lpwstr>leloumn</vt:lpwstr>
  </property>
  <property fmtid="{D5CDD505-2E9C-101B-9397-08002B2CF9AE}" pid="9" name="ContentTypeId">
    <vt:lpwstr>0x010100258AA79CEB83498886A3A08681123250001EF2E72EDE1A3142AEE2C668D5465E94</vt:lpwstr>
  </property>
  <property fmtid="{D5CDD505-2E9C-101B-9397-08002B2CF9AE}" pid="10" name="Part">
    <vt:lpwstr>1</vt:lpwstr>
  </property>
  <property fmtid="{D5CDD505-2E9C-101B-9397-08002B2CF9AE}" pid="11" name="Total parts">
    <vt:lpwstr>1</vt:lpwstr>
  </property>
  <property fmtid="{D5CDD505-2E9C-101B-9397-08002B2CF9AE}" pid="12" name="Classification">
    <vt:lpwstr> </vt:lpwstr>
  </property>
  <property fmtid="{D5CDD505-2E9C-101B-9397-08002B2CF9AE}" pid="13" name="DocStatus">
    <vt:lpwstr>Green</vt:lpwstr>
  </property>
</Properties>
</file>