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349" w:rsidRPr="008203F4" w:rsidRDefault="000C4349" w:rsidP="00B90360">
      <w:pPr>
        <w:jc w:val="center"/>
        <w:rPr>
          <w:b/>
          <w:bCs/>
          <w:sz w:val="32"/>
          <w:szCs w:val="32"/>
          <w:lang w:val="bg-BG"/>
        </w:rPr>
      </w:pPr>
      <w:bookmarkStart w:id="0" w:name="_GoBack"/>
      <w:bookmarkEnd w:id="0"/>
      <w:r w:rsidRPr="008203F4">
        <w:rPr>
          <w:b/>
          <w:bCs/>
          <w:sz w:val="32"/>
          <w:szCs w:val="32"/>
          <w:lang w:val="bg-BG"/>
        </w:rPr>
        <w:t>ТАБЛИЦА</w:t>
      </w:r>
    </w:p>
    <w:p w:rsidR="000C4349" w:rsidRPr="00B90360" w:rsidRDefault="000C4349" w:rsidP="008203F4">
      <w:pPr>
        <w:jc w:val="center"/>
        <w:rPr>
          <w:lang w:val="bg-BG"/>
        </w:rPr>
      </w:pPr>
    </w:p>
    <w:p w:rsidR="00FA6B22" w:rsidRDefault="000C4349" w:rsidP="008203F4">
      <w:pPr>
        <w:jc w:val="center"/>
        <w:rPr>
          <w:lang w:val="bg-BG"/>
        </w:rPr>
      </w:pPr>
      <w:r w:rsidRPr="00B90360">
        <w:rPr>
          <w:lang w:val="bg-BG"/>
        </w:rPr>
        <w:t xml:space="preserve">с постъпилите становища от общественото обсъждане на проект на </w:t>
      </w:r>
    </w:p>
    <w:p w:rsidR="000C4349" w:rsidRPr="00B90360" w:rsidRDefault="00911359" w:rsidP="008203F4">
      <w:pPr>
        <w:jc w:val="center"/>
        <w:rPr>
          <w:lang w:val="bg-BG"/>
        </w:rPr>
      </w:pPr>
      <w:r w:rsidRPr="00911359">
        <w:rPr>
          <w:lang w:val="bg-BG"/>
        </w:rPr>
        <w:t>Закон за изменение и допълнение на Закона за електронните съобщения</w:t>
      </w:r>
    </w:p>
    <w:p w:rsidR="000C4349" w:rsidRPr="00B90360" w:rsidRDefault="000C4349" w:rsidP="008203F4">
      <w:pPr>
        <w:jc w:val="center"/>
        <w:rPr>
          <w:lang w:val="bg-BG"/>
        </w:rPr>
      </w:pPr>
    </w:p>
    <w:tbl>
      <w:tblPr>
        <w:tblW w:w="14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55"/>
        <w:gridCol w:w="1357"/>
        <w:gridCol w:w="5811"/>
      </w:tblGrid>
      <w:tr w:rsidR="000C4349" w:rsidRPr="006F5ADA" w:rsidTr="00DD2418">
        <w:trPr>
          <w:trHeight w:val="810"/>
        </w:trPr>
        <w:tc>
          <w:tcPr>
            <w:tcW w:w="7355" w:type="dxa"/>
            <w:vAlign w:val="center"/>
          </w:tcPr>
          <w:p w:rsidR="000C4349" w:rsidRPr="004C4C8C" w:rsidRDefault="000C4349" w:rsidP="004C4C8C">
            <w:pPr>
              <w:jc w:val="center"/>
              <w:rPr>
                <w:b/>
                <w:lang w:val="bg-BG"/>
              </w:rPr>
            </w:pPr>
            <w:r w:rsidRPr="004C4C8C">
              <w:rPr>
                <w:b/>
                <w:lang w:val="bg-BG"/>
              </w:rPr>
              <w:t>Предложение</w:t>
            </w:r>
          </w:p>
        </w:tc>
        <w:tc>
          <w:tcPr>
            <w:tcW w:w="1357" w:type="dxa"/>
          </w:tcPr>
          <w:p w:rsidR="000C4349" w:rsidRPr="004C4C8C" w:rsidRDefault="000C4349" w:rsidP="004C4C8C">
            <w:pPr>
              <w:jc w:val="center"/>
              <w:rPr>
                <w:b/>
                <w:lang w:val="bg-BG"/>
              </w:rPr>
            </w:pPr>
            <w:r w:rsidRPr="004C4C8C">
              <w:rPr>
                <w:b/>
                <w:lang w:val="bg-BG"/>
              </w:rPr>
              <w:t>Приема се/Не се приема</w:t>
            </w:r>
          </w:p>
        </w:tc>
        <w:tc>
          <w:tcPr>
            <w:tcW w:w="5811" w:type="dxa"/>
            <w:vAlign w:val="center"/>
          </w:tcPr>
          <w:p w:rsidR="000C4349" w:rsidRPr="004C4C8C" w:rsidRDefault="000C4349" w:rsidP="004C4C8C">
            <w:pPr>
              <w:jc w:val="center"/>
              <w:rPr>
                <w:b/>
                <w:lang w:val="bg-BG"/>
              </w:rPr>
            </w:pPr>
            <w:r w:rsidRPr="004C4C8C">
              <w:rPr>
                <w:b/>
                <w:iCs/>
                <w:lang w:val="bg-BG"/>
              </w:rPr>
              <w:t>Мотиви за неприемане/място на отразяване на приети предложения</w:t>
            </w:r>
          </w:p>
        </w:tc>
      </w:tr>
      <w:tr w:rsidR="000C4349" w:rsidRPr="007873D1" w:rsidTr="00DD2418">
        <w:trPr>
          <w:trHeight w:val="20"/>
        </w:trPr>
        <w:tc>
          <w:tcPr>
            <w:tcW w:w="14523" w:type="dxa"/>
            <w:gridSpan w:val="3"/>
            <w:shd w:val="clear" w:color="auto" w:fill="BFBFBF"/>
          </w:tcPr>
          <w:p w:rsidR="000C4349" w:rsidRPr="004C4C8C" w:rsidRDefault="006808EB" w:rsidP="004C4C8C">
            <w:pPr>
              <w:jc w:val="center"/>
              <w:rPr>
                <w:b/>
                <w:i/>
                <w:iCs/>
                <w:lang w:val="bg-BG"/>
              </w:rPr>
            </w:pPr>
            <w:r w:rsidRPr="004C4C8C">
              <w:rPr>
                <w:b/>
                <w:sz w:val="32"/>
                <w:szCs w:val="32"/>
                <w:lang w:val="bg-BG"/>
              </w:rPr>
              <w:t>1. „А1 България“ ЕАД</w:t>
            </w:r>
          </w:p>
        </w:tc>
      </w:tr>
      <w:tr w:rsidR="00C12E50" w:rsidRPr="006F5ADA" w:rsidTr="007873D1">
        <w:tc>
          <w:tcPr>
            <w:tcW w:w="7355" w:type="dxa"/>
          </w:tcPr>
          <w:p w:rsidR="00C12E50" w:rsidRPr="004C4C8C" w:rsidRDefault="00C12E50" w:rsidP="004C4C8C">
            <w:pPr>
              <w:jc w:val="both"/>
              <w:rPr>
                <w:b/>
                <w:lang w:val="bg-BG"/>
              </w:rPr>
            </w:pPr>
            <w:r w:rsidRPr="004C4C8C">
              <w:rPr>
                <w:b/>
                <w:lang w:val="bg-BG" w:bidi="bg-BG"/>
              </w:rPr>
              <w:t>I. Конкретни бележки</w:t>
            </w:r>
          </w:p>
          <w:p w:rsidR="00C12E50" w:rsidRPr="007873D1" w:rsidRDefault="00C12E50" w:rsidP="004C4C8C">
            <w:pPr>
              <w:jc w:val="both"/>
              <w:rPr>
                <w:lang w:val="bg-BG"/>
              </w:rPr>
            </w:pPr>
            <w:r w:rsidRPr="004C4C8C">
              <w:rPr>
                <w:b/>
                <w:lang w:val="bg-BG" w:bidi="bg-BG"/>
              </w:rPr>
              <w:t>1.</w:t>
            </w:r>
            <w:r w:rsidRPr="007873D1">
              <w:rPr>
                <w:lang w:val="bg-BG" w:bidi="bg-BG"/>
              </w:rPr>
              <w:t xml:space="preserve"> По отношение </w:t>
            </w:r>
            <w:r w:rsidRPr="004C4C8C">
              <w:rPr>
                <w:b/>
                <w:lang w:val="bg-BG" w:bidi="bg-BG"/>
              </w:rPr>
              <w:t>§ 2 от Проекта, с който се предвиждат санкции при нарушаването на чл. 5а от Регламент (ЕС) 2015/2120:</w:t>
            </w:r>
          </w:p>
          <w:p w:rsidR="00C12E50" w:rsidRPr="007873D1" w:rsidRDefault="00C12E50" w:rsidP="004C4C8C">
            <w:pPr>
              <w:jc w:val="both"/>
              <w:rPr>
                <w:lang w:val="bg-BG"/>
              </w:rPr>
            </w:pPr>
            <w:r w:rsidRPr="007873D1">
              <w:rPr>
                <w:lang w:val="bg-BG" w:bidi="bg-BG"/>
              </w:rPr>
              <w:t>В § 2 от Проекта се предвижда следното:</w:t>
            </w:r>
          </w:p>
          <w:p w:rsidR="00C12E50" w:rsidRPr="007873D1" w:rsidRDefault="00C12E50" w:rsidP="004C4C8C">
            <w:pPr>
              <w:jc w:val="both"/>
              <w:rPr>
                <w:lang w:val="bg-BG"/>
              </w:rPr>
            </w:pPr>
            <w:r w:rsidRPr="007873D1">
              <w:rPr>
                <w:i/>
                <w:iCs/>
                <w:lang w:val="bg-BG" w:bidi="bg-BG"/>
              </w:rPr>
              <w:t>Създава се нова ал. 3 на чл. 334г:</w:t>
            </w:r>
          </w:p>
          <w:p w:rsidR="00C12E50" w:rsidRPr="007873D1" w:rsidRDefault="00C12E50" w:rsidP="004C4C8C">
            <w:pPr>
              <w:jc w:val="both"/>
              <w:rPr>
                <w:lang w:val="bg-BG"/>
              </w:rPr>
            </w:pPr>
            <w:r w:rsidRPr="007873D1">
              <w:rPr>
                <w:i/>
                <w:iCs/>
                <w:lang w:val="bg-BG" w:bidi="bg-BG"/>
              </w:rPr>
              <w:t>„(3) За нарушение на чл. 5а от Регламент (ЕС) 2015/2120, се налагат имуществени санкции, както следва:</w:t>
            </w:r>
          </w:p>
          <w:p w:rsidR="00C12E50" w:rsidRPr="007873D1" w:rsidRDefault="007873D1" w:rsidP="004C4C8C">
            <w:pPr>
              <w:jc w:val="both"/>
              <w:rPr>
                <w:lang w:val="bg-BG"/>
              </w:rPr>
            </w:pPr>
            <w:r w:rsidRPr="007873D1">
              <w:rPr>
                <w:i/>
                <w:iCs/>
                <w:lang w:val="bg-BG" w:bidi="bg-BG"/>
              </w:rPr>
              <w:t>1.</w:t>
            </w:r>
            <w:r>
              <w:rPr>
                <w:i/>
                <w:iCs/>
                <w:lang w:val="bg-BG" w:bidi="bg-BG"/>
              </w:rPr>
              <w:t xml:space="preserve"> </w:t>
            </w:r>
            <w:r w:rsidR="00C12E50" w:rsidRPr="007873D1">
              <w:rPr>
                <w:i/>
                <w:iCs/>
                <w:lang w:val="bg-BG" w:bidi="bg-BG"/>
              </w:rPr>
              <w:t>за нарушение на параграф 1 или параграф 3 - в размер от 20 000 до 400 000 лв.;</w:t>
            </w:r>
          </w:p>
          <w:p w:rsidR="00C12E50" w:rsidRPr="007873D1" w:rsidRDefault="007873D1" w:rsidP="004C4C8C">
            <w:pPr>
              <w:jc w:val="both"/>
              <w:rPr>
                <w:lang w:val="bg-BG"/>
              </w:rPr>
            </w:pPr>
            <w:r>
              <w:rPr>
                <w:i/>
                <w:iCs/>
                <w:lang w:val="bg-BG" w:bidi="bg-BG"/>
              </w:rPr>
              <w:t xml:space="preserve">2. </w:t>
            </w:r>
            <w:r w:rsidR="00C12E50" w:rsidRPr="007873D1">
              <w:rPr>
                <w:i/>
                <w:iCs/>
                <w:lang w:val="bg-BG" w:bidi="bg-BG"/>
              </w:rPr>
              <w:t>за непредоставяне на информация на потребителите по параграф 2 - в размер от 500 до 5 000 лв.;</w:t>
            </w:r>
          </w:p>
          <w:p w:rsidR="00C12E50" w:rsidRPr="007873D1" w:rsidRDefault="007873D1" w:rsidP="004C4C8C">
            <w:pPr>
              <w:jc w:val="both"/>
              <w:rPr>
                <w:lang w:val="bg-BG"/>
              </w:rPr>
            </w:pPr>
            <w:r>
              <w:rPr>
                <w:i/>
                <w:iCs/>
                <w:lang w:val="bg-BG" w:bidi="bg-BG"/>
              </w:rPr>
              <w:t xml:space="preserve">3. </w:t>
            </w:r>
            <w:r w:rsidR="00C12E50" w:rsidRPr="007873D1">
              <w:rPr>
                <w:i/>
                <w:iCs/>
                <w:lang w:val="bg-BG" w:bidi="bg-BG"/>
              </w:rPr>
              <w:t>за нарушение на параграф 4 - в размер от 5 000 до 50 000лв.“</w:t>
            </w:r>
          </w:p>
          <w:p w:rsidR="00C12E50" w:rsidRPr="007873D1" w:rsidRDefault="00C12E50" w:rsidP="004C4C8C">
            <w:pPr>
              <w:jc w:val="both"/>
              <w:rPr>
                <w:lang w:val="bg-BG"/>
              </w:rPr>
            </w:pPr>
            <w:r w:rsidRPr="004C4C8C">
              <w:rPr>
                <w:b/>
                <w:lang w:val="bg-BG" w:bidi="bg-BG"/>
              </w:rPr>
              <w:t>Мотиви:</w:t>
            </w:r>
            <w:r w:rsidRPr="007873D1">
              <w:rPr>
                <w:lang w:val="bg-BG" w:bidi="bg-BG"/>
              </w:rPr>
              <w:t xml:space="preserve"> По отношение предвиждането на санкции за неизпълнението на чл. 5а от Регламент (ЕС) № 2015/2120, то такова съгласно разписаното в самият Регламент следва да се извърши, но санкциите следва да са </w:t>
            </w:r>
            <w:r w:rsidRPr="007873D1">
              <w:rPr>
                <w:i/>
                <w:iCs/>
                <w:lang w:val="bg-BG" w:bidi="bg-BG"/>
              </w:rPr>
              <w:t>„ефективни, пропорционални и възпиращи</w:t>
            </w:r>
            <w:r w:rsidR="00B70572">
              <w:rPr>
                <w:i/>
                <w:iCs/>
                <w:lang w:val="bg-BG" w:bidi="bg-BG"/>
              </w:rPr>
              <w:t>“,</w:t>
            </w:r>
            <w:r w:rsidRPr="007873D1">
              <w:rPr>
                <w:i/>
                <w:iCs/>
                <w:lang w:val="bg-BG" w:bidi="bg-BG"/>
              </w:rPr>
              <w:t xml:space="preserve"> </w:t>
            </w:r>
            <w:r w:rsidRPr="007873D1">
              <w:rPr>
                <w:lang w:val="bg-BG" w:bidi="bg-BG"/>
              </w:rPr>
              <w:t>което не считаме че е изпълнено в случая, тъй като същите са прекомерни по размер.</w:t>
            </w:r>
          </w:p>
          <w:p w:rsidR="00C12E50" w:rsidRPr="007873D1" w:rsidRDefault="00C12E50" w:rsidP="004C4C8C">
            <w:pPr>
              <w:jc w:val="both"/>
              <w:rPr>
                <w:lang w:val="bg-BG"/>
              </w:rPr>
            </w:pPr>
            <w:r w:rsidRPr="007873D1">
              <w:rPr>
                <w:lang w:val="bg-BG" w:bidi="bg-BG"/>
              </w:rPr>
              <w:t>Също така, следва да се има предвид, че при определянето на санкциите следва да се спазва правото на ЕС, включително и принципът за пропорционалност, т.е. санкцията не следва да надхвърля необходимото, с оглед постигане на законовите цели.</w:t>
            </w:r>
          </w:p>
          <w:p w:rsidR="00C12E50" w:rsidRPr="007873D1" w:rsidRDefault="00C12E50" w:rsidP="004C4C8C">
            <w:pPr>
              <w:jc w:val="both"/>
              <w:rPr>
                <w:lang w:val="bg-BG" w:bidi="bg-BG"/>
              </w:rPr>
            </w:pPr>
            <w:r w:rsidRPr="007873D1">
              <w:rPr>
                <w:lang w:val="bg-BG" w:bidi="bg-BG"/>
              </w:rPr>
              <w:t xml:space="preserve">В допълнение към това в мотивите към проекта на изменението е посочено, че размерът на санкциите е съобразен </w:t>
            </w:r>
            <w:r w:rsidRPr="007873D1">
              <w:rPr>
                <w:i/>
                <w:iCs/>
                <w:lang w:val="bg-BG" w:bidi="bg-BG"/>
              </w:rPr>
              <w:t xml:space="preserve">,,с неблагоприятните последици, които могат да настъпят за всеки краен потребител на </w:t>
            </w:r>
            <w:r w:rsidRPr="007873D1">
              <w:rPr>
                <w:i/>
                <w:iCs/>
                <w:lang w:val="bg-BG" w:bidi="bg-BG"/>
              </w:rPr>
              <w:lastRenderedPageBreak/>
              <w:t>доставчика“.</w:t>
            </w:r>
            <w:r w:rsidRPr="007873D1">
              <w:rPr>
                <w:lang w:val="bg-BG" w:bidi="bg-BG"/>
              </w:rPr>
              <w:t xml:space="preserve"> А1 е на мнение, че нивата на предвидените санкции не кореспондират с потенциалната негативна последица за даден потребител, </w:t>
            </w:r>
            <w:r w:rsidR="00B70572">
              <w:rPr>
                <w:lang w:val="bg-BG" w:bidi="bg-BG"/>
              </w:rPr>
              <w:t>с</w:t>
            </w:r>
            <w:r w:rsidRPr="007873D1">
              <w:rPr>
                <w:lang w:val="bg-BG" w:bidi="bg-BG"/>
              </w:rPr>
              <w:t xml:space="preserve"> оглед факта че става въпрос за изходящи международни повиквания към други държави-членки на ЕС/ЕЗИ, които представляват около 1% от общия трафик, генериран от абонатите на А1 за 2018 г.</w:t>
            </w:r>
          </w:p>
          <w:p w:rsidR="00C12E50" w:rsidRPr="007873D1" w:rsidRDefault="00C12E50" w:rsidP="004C4C8C">
            <w:pPr>
              <w:jc w:val="both"/>
              <w:rPr>
                <w:lang w:val="bg-BG" w:bidi="bg-BG"/>
              </w:rPr>
            </w:pPr>
            <w:r w:rsidRPr="007873D1">
              <w:rPr>
                <w:lang w:val="bg-BG" w:bidi="bg-BG"/>
              </w:rPr>
              <w:t xml:space="preserve">Нещо повече, в мотивите е изрично отбелязано и че </w:t>
            </w:r>
            <w:r w:rsidRPr="007873D1">
              <w:rPr>
                <w:i/>
                <w:iCs/>
                <w:lang w:val="bg-BG" w:bidi="bg-BG"/>
              </w:rPr>
              <w:t>„Минималните размери на предвидените с проекта санкции са съобразени с факта, че адресати на задълженията по чл. 5а от Регламент (ЕС) 2120/2015 са не само действащите големи оператори в България, но и такива със значително по-малък обем приходи и пазарен дял. Предвидените максимални размери са съобразени с възможността на големите предприятия да заплатят санкциите и с ефекта, който биха имали тези санкции върху печалбите им, като този ефект следва да мотивира предприятията да спазват предвидените изисквания“.</w:t>
            </w:r>
            <w:r w:rsidRPr="007873D1">
              <w:rPr>
                <w:lang w:val="bg-BG" w:bidi="bg-BG"/>
              </w:rPr>
              <w:t xml:space="preserve"> Този подход е дискриминационен по отношение третирането на участниците на пазара на електронни съобщения в България и с предвидените промени директно с посочва, че мобилните предприятия, които предоставят и фиксирани гласови услуги, ще бъдат обект на по стриктен контрол и потенциално по-високи нива на санкциите.</w:t>
            </w:r>
          </w:p>
          <w:p w:rsidR="00C12E50" w:rsidRPr="007873D1" w:rsidRDefault="00C12E50" w:rsidP="004C4C8C">
            <w:pPr>
              <w:jc w:val="both"/>
              <w:rPr>
                <w:lang w:val="bg-BG" w:bidi="bg-BG"/>
              </w:rPr>
            </w:pPr>
            <w:r w:rsidRPr="007873D1">
              <w:rPr>
                <w:lang w:val="bg-BG" w:bidi="bg-BG"/>
              </w:rPr>
              <w:t xml:space="preserve">Не на последно място е важно да отбележим, че крайните потребители имат възможност и реално ползват за изходящи международни повиквания различни ОТТ приложения като </w:t>
            </w:r>
            <w:r w:rsidRPr="007873D1">
              <w:rPr>
                <w:lang w:val="bg-BG" w:bidi="en-US"/>
              </w:rPr>
              <w:t xml:space="preserve">Viber, Skype, Facebook </w:t>
            </w:r>
            <w:r w:rsidRPr="007873D1">
              <w:rPr>
                <w:lang w:val="bg-BG" w:bidi="bg-BG"/>
              </w:rPr>
              <w:t>и др. Те, обаче, остават извън обхват на предвидената ценова регулацията и съответно не се предвиждат санкции за тях, но оказват сериозен конкурентен натиск върху дейността на традиционните телеком оператори.</w:t>
            </w:r>
          </w:p>
          <w:p w:rsidR="003A4181" w:rsidRPr="007873D1" w:rsidRDefault="00C12E50" w:rsidP="00B70572">
            <w:pPr>
              <w:jc w:val="both"/>
              <w:rPr>
                <w:lang w:val="bg-BG" w:bidi="bg-BG"/>
              </w:rPr>
            </w:pPr>
            <w:r w:rsidRPr="00B70572">
              <w:rPr>
                <w:b/>
                <w:lang w:val="bg-BG" w:bidi="bg-BG"/>
              </w:rPr>
              <w:t>Предвид изложеното по-горе предлагаме да бъде значително намален размерът на минималната и максималната граница на предложените санкции, като бъдат редуцирани до нива, които отразяват обективно тежестта на деянията, съставляващи административни нарушения.</w:t>
            </w:r>
            <w:r w:rsidRPr="007873D1">
              <w:rPr>
                <w:lang w:val="bg-BG" w:bidi="bg-BG"/>
              </w:rPr>
              <w:t xml:space="preserve"> В този смисъл, считаме, че принципите на пропорционалност и на индивидуализация на наказанието ще бъдат спазени и при по-ниски размери на санкциите. </w:t>
            </w:r>
            <w:r w:rsidRPr="007873D1">
              <w:rPr>
                <w:lang w:val="bg-BG" w:bidi="bg-BG"/>
              </w:rPr>
              <w:lastRenderedPageBreak/>
              <w:t>С предвиждането на прекомерно високи санкции на практика не се осигурява постигане на целите на чл. 21а от Рамковата директива за ефективност и възпиране.</w:t>
            </w:r>
          </w:p>
        </w:tc>
        <w:tc>
          <w:tcPr>
            <w:tcW w:w="1357" w:type="dxa"/>
          </w:tcPr>
          <w:p w:rsidR="00C12E50" w:rsidRDefault="00C12E50" w:rsidP="004C4C8C">
            <w:pPr>
              <w:jc w:val="both"/>
              <w:rPr>
                <w:sz w:val="32"/>
                <w:szCs w:val="32"/>
                <w:lang w:val="bg-BG"/>
              </w:rPr>
            </w:pPr>
          </w:p>
          <w:p w:rsidR="00A55F41" w:rsidRDefault="00A55F41" w:rsidP="004C4C8C">
            <w:pPr>
              <w:jc w:val="both"/>
              <w:rPr>
                <w:lang w:val="bg-BG"/>
              </w:rPr>
            </w:pPr>
          </w:p>
          <w:p w:rsidR="00A55F41" w:rsidRDefault="00A55F41" w:rsidP="004C4C8C">
            <w:pPr>
              <w:jc w:val="both"/>
              <w:rPr>
                <w:lang w:val="bg-BG"/>
              </w:rPr>
            </w:pPr>
          </w:p>
          <w:p w:rsidR="00A55F41" w:rsidRDefault="00A55F41" w:rsidP="004C4C8C">
            <w:pPr>
              <w:jc w:val="both"/>
              <w:rPr>
                <w:lang w:val="bg-BG"/>
              </w:rPr>
            </w:pPr>
          </w:p>
          <w:p w:rsidR="00A55F41" w:rsidRDefault="00A55F41" w:rsidP="004C4C8C">
            <w:pPr>
              <w:jc w:val="both"/>
              <w:rPr>
                <w:lang w:val="bg-BG"/>
              </w:rPr>
            </w:pPr>
          </w:p>
          <w:p w:rsidR="00A55F41" w:rsidRDefault="00A55F41" w:rsidP="004C4C8C">
            <w:pPr>
              <w:jc w:val="both"/>
              <w:rPr>
                <w:lang w:val="bg-BG"/>
              </w:rPr>
            </w:pPr>
          </w:p>
          <w:p w:rsidR="00A55F41" w:rsidRDefault="00A55F41" w:rsidP="004C4C8C">
            <w:pPr>
              <w:jc w:val="both"/>
              <w:rPr>
                <w:lang w:val="bg-BG"/>
              </w:rPr>
            </w:pPr>
          </w:p>
          <w:p w:rsidR="00A55F41" w:rsidRDefault="00A55F41" w:rsidP="004C4C8C">
            <w:pPr>
              <w:jc w:val="both"/>
              <w:rPr>
                <w:lang w:val="bg-BG"/>
              </w:rPr>
            </w:pPr>
          </w:p>
          <w:p w:rsidR="00A55F41" w:rsidRDefault="00A55F41" w:rsidP="004C4C8C">
            <w:pPr>
              <w:jc w:val="both"/>
              <w:rPr>
                <w:lang w:val="bg-BG"/>
              </w:rPr>
            </w:pPr>
          </w:p>
          <w:p w:rsidR="00A55F41" w:rsidRDefault="00A55F41" w:rsidP="004C4C8C">
            <w:pPr>
              <w:jc w:val="both"/>
              <w:rPr>
                <w:lang w:val="bg-BG"/>
              </w:rPr>
            </w:pPr>
          </w:p>
          <w:p w:rsidR="00A55F41" w:rsidRDefault="00A55F41" w:rsidP="004C4C8C">
            <w:pPr>
              <w:jc w:val="both"/>
              <w:rPr>
                <w:lang w:val="bg-BG"/>
              </w:rPr>
            </w:pPr>
          </w:p>
          <w:p w:rsidR="00A55F41" w:rsidRDefault="00A55F41" w:rsidP="004C4C8C">
            <w:pPr>
              <w:jc w:val="both"/>
              <w:rPr>
                <w:lang w:val="bg-BG"/>
              </w:rPr>
            </w:pPr>
          </w:p>
          <w:p w:rsidR="006F5ADA" w:rsidRPr="006F5ADA" w:rsidRDefault="006F5ADA" w:rsidP="004C4C8C">
            <w:pPr>
              <w:jc w:val="both"/>
              <w:rPr>
                <w:lang w:val="bg-BG"/>
              </w:rPr>
            </w:pPr>
            <w:r w:rsidRPr="006F5ADA">
              <w:rPr>
                <w:lang w:val="bg-BG"/>
              </w:rPr>
              <w:t>Не се приема.</w:t>
            </w:r>
          </w:p>
        </w:tc>
        <w:tc>
          <w:tcPr>
            <w:tcW w:w="5811" w:type="dxa"/>
          </w:tcPr>
          <w:p w:rsidR="007873D1" w:rsidRDefault="007873D1" w:rsidP="004C4C8C">
            <w:pPr>
              <w:jc w:val="both"/>
              <w:rPr>
                <w:lang w:val="bg-BG"/>
              </w:rPr>
            </w:pPr>
          </w:p>
          <w:p w:rsidR="009D6C62" w:rsidRDefault="009D6C62" w:rsidP="004C4C8C">
            <w:pPr>
              <w:jc w:val="both"/>
              <w:rPr>
                <w:lang w:val="bg-BG"/>
              </w:rPr>
            </w:pPr>
          </w:p>
          <w:p w:rsidR="009D6C62" w:rsidRDefault="009D6C62" w:rsidP="004C4C8C">
            <w:pPr>
              <w:jc w:val="both"/>
              <w:rPr>
                <w:lang w:val="bg-BG"/>
              </w:rPr>
            </w:pPr>
          </w:p>
          <w:p w:rsidR="009D6C62" w:rsidRDefault="009D6C62" w:rsidP="004C4C8C">
            <w:pPr>
              <w:jc w:val="both"/>
              <w:rPr>
                <w:lang w:val="bg-BG"/>
              </w:rPr>
            </w:pPr>
          </w:p>
          <w:p w:rsidR="009D6C62" w:rsidRDefault="009D6C62" w:rsidP="004C4C8C">
            <w:pPr>
              <w:jc w:val="both"/>
              <w:rPr>
                <w:lang w:val="bg-BG"/>
              </w:rPr>
            </w:pPr>
          </w:p>
          <w:p w:rsidR="009D6C62" w:rsidRDefault="009D6C62" w:rsidP="004C4C8C">
            <w:pPr>
              <w:jc w:val="both"/>
              <w:rPr>
                <w:lang w:val="bg-BG"/>
              </w:rPr>
            </w:pPr>
          </w:p>
          <w:p w:rsidR="009D6C62" w:rsidRDefault="009D6C62" w:rsidP="004C4C8C">
            <w:pPr>
              <w:jc w:val="both"/>
              <w:rPr>
                <w:lang w:val="bg-BG"/>
              </w:rPr>
            </w:pPr>
          </w:p>
          <w:p w:rsidR="009D6C62" w:rsidRDefault="009D6C62" w:rsidP="004C4C8C">
            <w:pPr>
              <w:jc w:val="both"/>
              <w:rPr>
                <w:lang w:val="bg-BG"/>
              </w:rPr>
            </w:pPr>
          </w:p>
          <w:p w:rsidR="009D6C62" w:rsidRDefault="009D6C62" w:rsidP="004C4C8C">
            <w:pPr>
              <w:jc w:val="both"/>
              <w:rPr>
                <w:lang w:val="bg-BG"/>
              </w:rPr>
            </w:pPr>
          </w:p>
          <w:p w:rsidR="009D6C62" w:rsidRDefault="009D6C62" w:rsidP="004C4C8C">
            <w:pPr>
              <w:jc w:val="both"/>
              <w:rPr>
                <w:lang w:val="bg-BG"/>
              </w:rPr>
            </w:pPr>
          </w:p>
          <w:p w:rsidR="009D6C62" w:rsidRDefault="009D6C62" w:rsidP="004C4C8C">
            <w:pPr>
              <w:jc w:val="both"/>
              <w:rPr>
                <w:lang w:val="bg-BG"/>
              </w:rPr>
            </w:pPr>
          </w:p>
          <w:p w:rsidR="009D6C62" w:rsidRDefault="009D6C62" w:rsidP="004C4C8C">
            <w:pPr>
              <w:jc w:val="both"/>
              <w:rPr>
                <w:lang w:val="bg-BG"/>
              </w:rPr>
            </w:pPr>
          </w:p>
          <w:p w:rsidR="006F5ADA" w:rsidRDefault="006F5ADA" w:rsidP="004C4C8C">
            <w:pPr>
              <w:jc w:val="both"/>
              <w:rPr>
                <w:lang w:val="bg-BG"/>
              </w:rPr>
            </w:pPr>
            <w:r>
              <w:rPr>
                <w:lang w:val="bg-BG"/>
              </w:rPr>
              <w:t>Не приемаме упреците за „прекомерност на санкциите“, като в допълнение можем да изтъкнем, че дори прекомерните санкции биха могли да бъдат ефективни и най-вече възпиращи.</w:t>
            </w:r>
          </w:p>
          <w:p w:rsidR="006F5ADA" w:rsidRPr="006F5ADA" w:rsidRDefault="006F5ADA" w:rsidP="004C4C8C">
            <w:pPr>
              <w:jc w:val="both"/>
              <w:rPr>
                <w:lang w:val="bg-BG"/>
              </w:rPr>
            </w:pPr>
            <w:r>
              <w:rPr>
                <w:lang w:val="bg-BG"/>
              </w:rPr>
              <w:t>Що се отнася до пропорционалността, фактът че се засягат потребители не прави нарушението с по-ниска степен на обществена опасност, тъй като могат да са засегнати множество потребители и общият съвкупен ефект от нарушението на практика да изисква налагането на по-висока санкция с оглед на нейната пропорционалност.</w:t>
            </w:r>
            <w:r w:rsidRPr="006F5ADA">
              <w:rPr>
                <w:lang w:val="bg-BG"/>
              </w:rPr>
              <w:t xml:space="preserve"> Противоправното поведение се изразява чрез бездействие може да засегне значителен брой потребители на доставчика, поради което се </w:t>
            </w:r>
            <w:r w:rsidRPr="006F5ADA">
              <w:rPr>
                <w:lang w:val="bg-BG"/>
              </w:rPr>
              <w:lastRenderedPageBreak/>
              <w:t xml:space="preserve">характеризира с висока степен на обществена опасност. </w:t>
            </w:r>
          </w:p>
          <w:p w:rsidR="006F5ADA" w:rsidRDefault="006F5ADA" w:rsidP="00A55F41">
            <w:pPr>
              <w:spacing w:after="120"/>
              <w:jc w:val="both"/>
              <w:rPr>
                <w:lang w:val="bg-BG"/>
              </w:rPr>
            </w:pPr>
            <w:r>
              <w:rPr>
                <w:lang w:val="bg-BG"/>
              </w:rPr>
              <w:t>Както е посочено в мотивите м</w:t>
            </w:r>
            <w:r w:rsidRPr="006F5ADA">
              <w:rPr>
                <w:lang w:val="bg-BG"/>
              </w:rPr>
              <w:t xml:space="preserve">инималните размери на предвидените с проекта санкции са съобразени с факта, че адресати на задълженията по чл. 5а от Регламент (ЕС) 2015/2120 са не само действащите големи оператори в България, но и такива със значително по-малък обем приходи и пазарен дял. </w:t>
            </w:r>
            <w:r>
              <w:rPr>
                <w:lang w:val="bg-BG"/>
              </w:rPr>
              <w:t>Практиката размерът на санкциите, с оглед техния възпиращ ефект и ефективност, да се диференцира от гледна точка на обема на дейност на нарушителя не е нова в европейското право и българското законодателство, особено в областта на конкуренцията. Тази практика не се разглежда като „дискриминационна“, напротив, би могла да има реален превантивен ефект. Така например санкциите в Закона за защита на конкуренцията (чл. 100 ЗЗК) се изчисляват като процент от общия оборот за съответния период</w:t>
            </w:r>
            <w:r w:rsidR="009D6C62">
              <w:rPr>
                <w:lang w:val="bg-BG"/>
              </w:rPr>
              <w:t>. В рамките на конкурентен пазар, какъвто е пазарът на електронните съобщения, подобен подход според нас е уместен.</w:t>
            </w:r>
          </w:p>
          <w:p w:rsidR="009D6C62" w:rsidRDefault="009D6C62" w:rsidP="009D6C62">
            <w:pPr>
              <w:spacing w:after="120"/>
              <w:jc w:val="both"/>
              <w:rPr>
                <w:lang w:val="bg-BG"/>
              </w:rPr>
            </w:pPr>
            <w:r>
              <w:rPr>
                <w:lang w:val="bg-BG"/>
              </w:rPr>
              <w:t>Що се отнася до споменатите приложения, оставащи извън обхвата на предвидената ценова регулация, следва да се отбележи, че значителна част от предоставяните от тях основни услуги са без заплащане от страна на потребителя. Регулацията е за гласови повиквания, но не и за преноса на данни. В този смисъл, преносът на данни на традиционните телеком оператори също е извън посочената регулация и не следва да се търси неравнопоставеност на тази основа.</w:t>
            </w:r>
          </w:p>
          <w:p w:rsidR="006F5ADA" w:rsidRPr="006F5ADA" w:rsidRDefault="009D6C62" w:rsidP="009D6C62">
            <w:pPr>
              <w:spacing w:after="120"/>
              <w:jc w:val="both"/>
              <w:rPr>
                <w:lang w:val="bg-BG"/>
              </w:rPr>
            </w:pPr>
            <w:r>
              <w:rPr>
                <w:lang w:val="bg-BG"/>
              </w:rPr>
              <w:t xml:space="preserve">Що се отнася до индивидуализацията на наказанията, тя се осъществява не по законодателен ред, а в административнонаказателния процес, с оглед на </w:t>
            </w:r>
            <w:r>
              <w:rPr>
                <w:lang w:val="bg-BG"/>
              </w:rPr>
              <w:lastRenderedPageBreak/>
              <w:t>конкретното нарушение, неговата тежест и останалите обстоятелства по случая.</w:t>
            </w:r>
          </w:p>
        </w:tc>
      </w:tr>
      <w:tr w:rsidR="000C4349" w:rsidRPr="007873D1" w:rsidTr="00DD2418">
        <w:tc>
          <w:tcPr>
            <w:tcW w:w="14523" w:type="dxa"/>
            <w:gridSpan w:val="3"/>
            <w:shd w:val="clear" w:color="auto" w:fill="BFBFBF"/>
            <w:vAlign w:val="center"/>
          </w:tcPr>
          <w:p w:rsidR="000C4349" w:rsidRPr="00916D7D" w:rsidRDefault="000C4349" w:rsidP="00916D7D">
            <w:pPr>
              <w:jc w:val="center"/>
              <w:rPr>
                <w:b/>
                <w:sz w:val="32"/>
                <w:szCs w:val="32"/>
                <w:lang w:val="bg-BG"/>
              </w:rPr>
            </w:pPr>
            <w:r w:rsidRPr="00916D7D">
              <w:rPr>
                <w:b/>
                <w:sz w:val="32"/>
                <w:szCs w:val="32"/>
                <w:lang w:val="bg-BG"/>
              </w:rPr>
              <w:lastRenderedPageBreak/>
              <w:t xml:space="preserve">2. </w:t>
            </w:r>
            <w:r w:rsidR="00916D7D">
              <w:rPr>
                <w:b/>
                <w:sz w:val="32"/>
                <w:szCs w:val="32"/>
                <w:lang w:val="bg-BG"/>
              </w:rPr>
              <w:t>„</w:t>
            </w:r>
            <w:r w:rsidR="0008325E" w:rsidRPr="00916D7D">
              <w:rPr>
                <w:b/>
                <w:sz w:val="32"/>
                <w:szCs w:val="32"/>
                <w:lang w:val="bg-BG"/>
              </w:rPr>
              <w:t>Теленор</w:t>
            </w:r>
            <w:r w:rsidR="00916D7D">
              <w:rPr>
                <w:b/>
                <w:sz w:val="32"/>
                <w:szCs w:val="32"/>
                <w:lang w:val="bg-BG"/>
              </w:rPr>
              <w:t xml:space="preserve"> България“ ЕАД</w:t>
            </w:r>
          </w:p>
        </w:tc>
      </w:tr>
      <w:tr w:rsidR="000C4349" w:rsidRPr="006F5ADA" w:rsidTr="00DD2418">
        <w:tc>
          <w:tcPr>
            <w:tcW w:w="7355" w:type="dxa"/>
          </w:tcPr>
          <w:p w:rsidR="007715D6" w:rsidRPr="007715D6" w:rsidRDefault="007715D6" w:rsidP="007715D6">
            <w:pPr>
              <w:jc w:val="both"/>
              <w:rPr>
                <w:color w:val="000000"/>
                <w:lang w:val="bg-BG" w:bidi="bg-BG"/>
              </w:rPr>
            </w:pPr>
            <w:r w:rsidRPr="007715D6">
              <w:rPr>
                <w:color w:val="000000"/>
                <w:lang w:val="bg-BG" w:bidi="bg-BG"/>
              </w:rPr>
              <w:t xml:space="preserve">Теленор подкрепя предложенията за промени в Закона за електронните съобщения, свързани с предвиждане на мерки на национално ниво за въвеждане на санкции за неприлагането на изискванията на чл. 5а на Регламент (ЕС) 2018/1971 на Европейския парламент и на Съвета от 11 декември 2018 година за изменение на Регламент (ЕС) 2015/2120, който урежда задължение за операторите на електронни съобщителни мрежи и услуги да въведат ценова граница </w:t>
            </w:r>
            <w:r w:rsidRPr="007715D6">
              <w:rPr>
                <w:i/>
                <w:color w:val="000000"/>
                <w:lang w:val="bg-BG" w:bidi="bg-BG"/>
              </w:rPr>
              <w:t>(price cap)</w:t>
            </w:r>
            <w:r w:rsidRPr="007715D6">
              <w:rPr>
                <w:color w:val="000000"/>
                <w:lang w:val="bg-BG" w:bidi="bg-BG"/>
              </w:rPr>
              <w:t xml:space="preserve"> на международните обаждания и текстовите съобщения в рамките на ЕИЗ.</w:t>
            </w:r>
          </w:p>
          <w:p w:rsidR="007715D6" w:rsidRPr="007715D6" w:rsidRDefault="007715D6" w:rsidP="007715D6">
            <w:pPr>
              <w:jc w:val="both"/>
              <w:rPr>
                <w:color w:val="000000"/>
                <w:lang w:val="bg-BG" w:bidi="bg-BG"/>
              </w:rPr>
            </w:pPr>
            <w:r w:rsidRPr="007715D6">
              <w:rPr>
                <w:color w:val="000000"/>
                <w:lang w:val="bg-BG" w:bidi="bg-BG"/>
              </w:rPr>
              <w:t xml:space="preserve">С § 2, т. 1 от проекта е предвидена санкционна разпоредба за нарушение на чл. 5а, пар. 1 и пар. 3 от Регламента </w:t>
            </w:r>
            <w:r w:rsidRPr="007715D6">
              <w:rPr>
                <w:b/>
                <w:color w:val="000000"/>
                <w:lang w:val="bg-BG" w:bidi="bg-BG"/>
              </w:rPr>
              <w:t>(санкция от 20 000 до 400 000 лв.)</w:t>
            </w:r>
            <w:r w:rsidRPr="007715D6">
              <w:rPr>
                <w:color w:val="000000"/>
                <w:lang w:val="bg-BG" w:bidi="bg-BG"/>
              </w:rPr>
              <w:t>. Изискването на чл. 5а, параграф 1 е доставчиците да не прилагат цени на дребно (без ДДС) за потребители на регулирани съобщения в</w:t>
            </w:r>
            <w:r>
              <w:rPr>
                <w:color w:val="000000"/>
                <w:lang w:val="bg-BG" w:bidi="bg-BG"/>
              </w:rPr>
              <w:t xml:space="preserve"> </w:t>
            </w:r>
            <w:r w:rsidRPr="007715D6">
              <w:rPr>
                <w:color w:val="000000"/>
                <w:lang w:val="bg-BG" w:bidi="bg-BG"/>
              </w:rPr>
              <w:t>рамките на ЕС надвишаващи 0,19 евро цента на минута за повиквания и 0,06 евро цента за текстови съобщения. Нормата на чл. 5а, параграф 3 се прилага в случаите, в които доставчикът не активира в определените срокове тарифата на дребно за регулирани съобщения в рамките на Съюза.</w:t>
            </w:r>
          </w:p>
          <w:p w:rsidR="007715D6" w:rsidRPr="007715D6" w:rsidRDefault="007715D6" w:rsidP="007715D6">
            <w:pPr>
              <w:jc w:val="both"/>
              <w:rPr>
                <w:color w:val="000000"/>
                <w:lang w:val="bg-BG" w:bidi="bg-BG"/>
              </w:rPr>
            </w:pPr>
            <w:r w:rsidRPr="007715D6">
              <w:rPr>
                <w:color w:val="000000"/>
                <w:lang w:val="bg-BG" w:bidi="bg-BG"/>
              </w:rPr>
              <w:t xml:space="preserve">С § 2, т. 1 от проекта е предвидена санкционна разпоредба за нарушение на чл. 5а, пар. 4 от Регламента </w:t>
            </w:r>
            <w:r w:rsidRPr="00131C93">
              <w:rPr>
                <w:b/>
                <w:color w:val="000000"/>
                <w:lang w:val="bg-BG" w:bidi="bg-BG"/>
              </w:rPr>
              <w:t>(санкция от 5 000 до 50 000 лв.)</w:t>
            </w:r>
            <w:r w:rsidRPr="007715D6">
              <w:rPr>
                <w:color w:val="000000"/>
                <w:lang w:val="bg-BG" w:bidi="bg-BG"/>
              </w:rPr>
              <w:t>. С разпоредбата се възпрепятства възможността на доставчиците да заобикалят задължението си за активиране на регулирана тарифа по чл. 5а от Регламента в рамките на един работен ден, без това да води до определени негативни последици за тях.</w:t>
            </w:r>
          </w:p>
          <w:p w:rsidR="007715D6" w:rsidRPr="007715D6" w:rsidRDefault="007715D6" w:rsidP="007715D6">
            <w:pPr>
              <w:jc w:val="both"/>
              <w:rPr>
                <w:color w:val="000000"/>
                <w:lang w:val="bg-BG" w:bidi="bg-BG"/>
              </w:rPr>
            </w:pPr>
            <w:r w:rsidRPr="007715D6">
              <w:rPr>
                <w:color w:val="000000"/>
                <w:lang w:val="bg-BG" w:bidi="bg-BG"/>
              </w:rPr>
              <w:t xml:space="preserve">Считаме, че определените в проекта размери на санкциите (минимален и максимален) за нарушение на чл. 5а, пар. 4 от Регламента са прекомерни и не са съобразени с тежестта на евентуалното бездействие на фона на другите нарушения по регламента </w:t>
            </w:r>
            <w:r w:rsidR="00131C93">
              <w:rPr>
                <w:color w:val="000000"/>
                <w:lang w:val="bg-BG" w:bidi="bg-BG"/>
              </w:rPr>
              <w:t xml:space="preserve">– </w:t>
            </w:r>
            <w:r w:rsidRPr="007715D6">
              <w:rPr>
                <w:color w:val="000000"/>
                <w:lang w:val="bg-BG" w:bidi="bg-BG"/>
              </w:rPr>
              <w:t xml:space="preserve">а именно нарушенията на чл. 3 от регламента за </w:t>
            </w:r>
            <w:r w:rsidRPr="007715D6">
              <w:rPr>
                <w:color w:val="000000"/>
                <w:lang w:val="bg-BG" w:bidi="bg-BG"/>
              </w:rPr>
              <w:lastRenderedPageBreak/>
              <w:t xml:space="preserve">невъвеждане на </w:t>
            </w:r>
            <w:r w:rsidRPr="00131C93">
              <w:rPr>
                <w:i/>
                <w:color w:val="000000"/>
                <w:lang w:bidi="bg-BG"/>
              </w:rPr>
              <w:t>Roam</w:t>
            </w:r>
            <w:r w:rsidRPr="006F5ADA">
              <w:rPr>
                <w:i/>
                <w:color w:val="000000"/>
                <w:lang w:val="bg-BG" w:bidi="bg-BG"/>
              </w:rPr>
              <w:t xml:space="preserve"> </w:t>
            </w:r>
            <w:r w:rsidRPr="00131C93">
              <w:rPr>
                <w:i/>
                <w:color w:val="000000"/>
                <w:lang w:bidi="bg-BG"/>
              </w:rPr>
              <w:t>like</w:t>
            </w:r>
            <w:r w:rsidRPr="006F5ADA">
              <w:rPr>
                <w:i/>
                <w:color w:val="000000"/>
                <w:lang w:val="bg-BG" w:bidi="bg-BG"/>
              </w:rPr>
              <w:t xml:space="preserve"> </w:t>
            </w:r>
            <w:r w:rsidRPr="00131C93">
              <w:rPr>
                <w:i/>
                <w:color w:val="000000"/>
                <w:lang w:bidi="bg-BG"/>
              </w:rPr>
              <w:t>at</w:t>
            </w:r>
            <w:r w:rsidRPr="006F5ADA">
              <w:rPr>
                <w:i/>
                <w:color w:val="000000"/>
                <w:lang w:val="bg-BG" w:bidi="bg-BG"/>
              </w:rPr>
              <w:t xml:space="preserve"> </w:t>
            </w:r>
            <w:r w:rsidRPr="00131C93">
              <w:rPr>
                <w:i/>
                <w:color w:val="000000"/>
                <w:lang w:bidi="bg-BG"/>
              </w:rPr>
              <w:t>Home</w:t>
            </w:r>
            <w:r w:rsidRPr="007715D6">
              <w:rPr>
                <w:color w:val="000000"/>
                <w:lang w:val="bg-BG" w:bidi="bg-BG"/>
              </w:rPr>
              <w:t xml:space="preserve"> - в размер от 400 000 до 2 000 000 лв. и на чл. чл. 4 от регламента - в размер от 10 000 до 100 000 лв</w:t>
            </w:r>
            <w:r w:rsidR="00131C93">
              <w:rPr>
                <w:color w:val="000000"/>
                <w:lang w:val="bg-BG" w:bidi="bg-BG"/>
              </w:rPr>
              <w:t>.</w:t>
            </w:r>
          </w:p>
          <w:p w:rsidR="007715D6" w:rsidRPr="007715D6" w:rsidRDefault="007715D6" w:rsidP="007715D6">
            <w:pPr>
              <w:jc w:val="both"/>
              <w:rPr>
                <w:color w:val="000000"/>
                <w:lang w:val="bg-BG" w:bidi="bg-BG"/>
              </w:rPr>
            </w:pPr>
            <w:r w:rsidRPr="007715D6">
              <w:rPr>
                <w:color w:val="000000"/>
                <w:lang w:val="bg-BG" w:bidi="bg-BG"/>
              </w:rPr>
              <w:t xml:space="preserve">И двата посочени вида нарушения могат да засегнат огромен брой потребители </w:t>
            </w:r>
            <w:r w:rsidR="00131C93">
              <w:rPr>
                <w:color w:val="000000"/>
                <w:lang w:val="bg-BG" w:bidi="bg-BG"/>
              </w:rPr>
              <w:t xml:space="preserve">– </w:t>
            </w:r>
            <w:r w:rsidRPr="007715D6">
              <w:rPr>
                <w:color w:val="000000"/>
                <w:lang w:val="bg-BG" w:bidi="bg-BG"/>
              </w:rPr>
              <w:t>всички потребители на мобилни услуги в роуминг, докато при международните обаждания могат да бъдат засегнати единствено потребителите - физически лица, и то само онези, които ползват международни обаждания. Ето защо считаме, че не е отчетена тежестта на нарушенията и посочените им особености следва да бъдат взети предвид.</w:t>
            </w:r>
          </w:p>
          <w:p w:rsidR="007715D6" w:rsidRPr="007715D6" w:rsidRDefault="007715D6" w:rsidP="007715D6">
            <w:pPr>
              <w:jc w:val="both"/>
              <w:rPr>
                <w:color w:val="000000"/>
                <w:lang w:val="bg-BG" w:bidi="bg-BG"/>
              </w:rPr>
            </w:pPr>
            <w:r w:rsidRPr="007715D6">
              <w:rPr>
                <w:color w:val="000000"/>
                <w:lang w:val="bg-BG" w:bidi="bg-BG"/>
              </w:rPr>
              <w:t>От друга страна, предложените минимални и максимални размери на санкции за нарушение на чл. 5а, пар. 4 от Регламента не са съобразени с обстоятелството, че с това нарушение може да се засегне конкретен потребител, а не и на голяма група потребители или на всички потребители на доставчика. Считаме, че деакгивирането на алтернативна роуминг тарифа е често срещана практика и превенцията с такива сериозни санкции единствено би утежнила положението на малките доставчици.</w:t>
            </w:r>
          </w:p>
          <w:p w:rsidR="000C4349" w:rsidRPr="007873D1" w:rsidRDefault="007715D6" w:rsidP="00131C93">
            <w:pPr>
              <w:jc w:val="both"/>
              <w:rPr>
                <w:color w:val="000000"/>
                <w:lang w:val="bg-BG" w:eastAsia="bg-BG"/>
              </w:rPr>
            </w:pPr>
            <w:r w:rsidRPr="007715D6">
              <w:rPr>
                <w:color w:val="000000"/>
                <w:lang w:val="bg-BG" w:bidi="bg-BG"/>
              </w:rPr>
              <w:t>Във всички случаи определянето на санкциите в прекомерен размер би довело до допълнителна пра</w:t>
            </w:r>
            <w:r w:rsidR="00131C93">
              <w:rPr>
                <w:color w:val="000000"/>
                <w:lang w:val="bg-BG" w:bidi="bg-BG"/>
              </w:rPr>
              <w:t>вна несигурност за операторите.</w:t>
            </w:r>
          </w:p>
        </w:tc>
        <w:tc>
          <w:tcPr>
            <w:tcW w:w="1357" w:type="dxa"/>
          </w:tcPr>
          <w:p w:rsidR="00A55F41" w:rsidRDefault="00A55F41" w:rsidP="007715D6">
            <w:pPr>
              <w:jc w:val="both"/>
              <w:rPr>
                <w:lang w:val="bg-BG"/>
              </w:rPr>
            </w:pPr>
          </w:p>
          <w:p w:rsidR="00A55F41" w:rsidRDefault="00A55F41" w:rsidP="007715D6">
            <w:pPr>
              <w:jc w:val="both"/>
              <w:rPr>
                <w:lang w:val="bg-BG"/>
              </w:rPr>
            </w:pPr>
          </w:p>
          <w:p w:rsidR="00A55F41" w:rsidRDefault="00A55F41" w:rsidP="007715D6">
            <w:pPr>
              <w:jc w:val="both"/>
              <w:rPr>
                <w:lang w:val="bg-BG"/>
              </w:rPr>
            </w:pPr>
          </w:p>
          <w:p w:rsidR="00A55F41" w:rsidRDefault="00A55F41" w:rsidP="007715D6">
            <w:pPr>
              <w:jc w:val="both"/>
              <w:rPr>
                <w:lang w:val="bg-BG"/>
              </w:rPr>
            </w:pPr>
          </w:p>
          <w:p w:rsidR="00A55F41" w:rsidRDefault="00A55F41" w:rsidP="007715D6">
            <w:pPr>
              <w:jc w:val="both"/>
              <w:rPr>
                <w:lang w:val="bg-BG"/>
              </w:rPr>
            </w:pPr>
          </w:p>
          <w:p w:rsidR="00A55F41" w:rsidRDefault="00A55F41" w:rsidP="007715D6">
            <w:pPr>
              <w:jc w:val="both"/>
              <w:rPr>
                <w:lang w:val="bg-BG"/>
              </w:rPr>
            </w:pPr>
          </w:p>
          <w:p w:rsidR="00A55F41" w:rsidRDefault="00A55F41" w:rsidP="007715D6">
            <w:pPr>
              <w:jc w:val="both"/>
              <w:rPr>
                <w:lang w:val="bg-BG"/>
              </w:rPr>
            </w:pPr>
          </w:p>
          <w:p w:rsidR="00A55F41" w:rsidRDefault="00A55F41" w:rsidP="007715D6">
            <w:pPr>
              <w:jc w:val="both"/>
              <w:rPr>
                <w:lang w:val="bg-BG"/>
              </w:rPr>
            </w:pPr>
          </w:p>
          <w:p w:rsidR="00A55F41" w:rsidRDefault="00A55F41" w:rsidP="007715D6">
            <w:pPr>
              <w:jc w:val="both"/>
              <w:rPr>
                <w:lang w:val="bg-BG"/>
              </w:rPr>
            </w:pPr>
          </w:p>
          <w:p w:rsidR="00A55F41" w:rsidRDefault="00A55F41" w:rsidP="007715D6">
            <w:pPr>
              <w:jc w:val="both"/>
              <w:rPr>
                <w:lang w:val="bg-BG"/>
              </w:rPr>
            </w:pPr>
          </w:p>
          <w:p w:rsidR="00A55F41" w:rsidRDefault="00A55F41" w:rsidP="007715D6">
            <w:pPr>
              <w:jc w:val="both"/>
              <w:rPr>
                <w:lang w:val="bg-BG"/>
              </w:rPr>
            </w:pPr>
          </w:p>
          <w:p w:rsidR="00A55F41" w:rsidRDefault="00A55F41" w:rsidP="007715D6">
            <w:pPr>
              <w:jc w:val="both"/>
              <w:rPr>
                <w:lang w:val="bg-BG"/>
              </w:rPr>
            </w:pPr>
          </w:p>
          <w:p w:rsidR="00A55F41" w:rsidRDefault="00A55F41" w:rsidP="007715D6">
            <w:pPr>
              <w:jc w:val="both"/>
              <w:rPr>
                <w:lang w:val="bg-BG"/>
              </w:rPr>
            </w:pPr>
          </w:p>
          <w:p w:rsidR="00A55F41" w:rsidRDefault="00A55F41" w:rsidP="007715D6">
            <w:pPr>
              <w:jc w:val="both"/>
              <w:rPr>
                <w:lang w:val="bg-BG"/>
              </w:rPr>
            </w:pPr>
          </w:p>
          <w:p w:rsidR="00A55F41" w:rsidRDefault="00A55F41" w:rsidP="007715D6">
            <w:pPr>
              <w:jc w:val="both"/>
              <w:rPr>
                <w:lang w:val="bg-BG"/>
              </w:rPr>
            </w:pPr>
          </w:p>
          <w:p w:rsidR="00A55F41" w:rsidRDefault="00A55F41" w:rsidP="007715D6">
            <w:pPr>
              <w:jc w:val="both"/>
              <w:rPr>
                <w:lang w:val="bg-BG"/>
              </w:rPr>
            </w:pPr>
          </w:p>
          <w:p w:rsidR="00A55F41" w:rsidRDefault="00A55F41" w:rsidP="007715D6">
            <w:pPr>
              <w:jc w:val="both"/>
              <w:rPr>
                <w:lang w:val="bg-BG"/>
              </w:rPr>
            </w:pPr>
          </w:p>
          <w:p w:rsidR="00A55F41" w:rsidRDefault="00A55F41" w:rsidP="007715D6">
            <w:pPr>
              <w:jc w:val="both"/>
              <w:rPr>
                <w:lang w:val="bg-BG"/>
              </w:rPr>
            </w:pPr>
          </w:p>
          <w:p w:rsidR="00A55F41" w:rsidRDefault="00A55F41" w:rsidP="007715D6">
            <w:pPr>
              <w:jc w:val="both"/>
              <w:rPr>
                <w:lang w:val="bg-BG"/>
              </w:rPr>
            </w:pPr>
          </w:p>
          <w:p w:rsidR="00A55F41" w:rsidRDefault="00A55F41" w:rsidP="007715D6">
            <w:pPr>
              <w:jc w:val="both"/>
              <w:rPr>
                <w:lang w:val="bg-BG"/>
              </w:rPr>
            </w:pPr>
          </w:p>
          <w:p w:rsidR="00A55F41" w:rsidRDefault="00A55F41" w:rsidP="007715D6">
            <w:pPr>
              <w:jc w:val="both"/>
              <w:rPr>
                <w:lang w:val="bg-BG"/>
              </w:rPr>
            </w:pPr>
          </w:p>
          <w:p w:rsidR="00A55F41" w:rsidRDefault="00A55F41" w:rsidP="007715D6">
            <w:pPr>
              <w:jc w:val="both"/>
              <w:rPr>
                <w:lang w:val="bg-BG"/>
              </w:rPr>
            </w:pPr>
          </w:p>
          <w:p w:rsidR="00A55F41" w:rsidRDefault="00A55F41" w:rsidP="007715D6">
            <w:pPr>
              <w:jc w:val="both"/>
              <w:rPr>
                <w:lang w:val="bg-BG"/>
              </w:rPr>
            </w:pPr>
          </w:p>
          <w:p w:rsidR="00A55F41" w:rsidRDefault="00A55F41" w:rsidP="007715D6">
            <w:pPr>
              <w:jc w:val="both"/>
              <w:rPr>
                <w:lang w:val="bg-BG"/>
              </w:rPr>
            </w:pPr>
          </w:p>
          <w:p w:rsidR="000C4349" w:rsidRPr="007873D1" w:rsidRDefault="009D6C62" w:rsidP="007715D6">
            <w:pPr>
              <w:jc w:val="both"/>
              <w:rPr>
                <w:lang w:val="bg-BG"/>
              </w:rPr>
            </w:pPr>
            <w:r>
              <w:rPr>
                <w:lang w:val="bg-BG"/>
              </w:rPr>
              <w:t>Не се приема.</w:t>
            </w:r>
          </w:p>
        </w:tc>
        <w:tc>
          <w:tcPr>
            <w:tcW w:w="5811" w:type="dxa"/>
          </w:tcPr>
          <w:p w:rsidR="000C4349" w:rsidRDefault="000C4349" w:rsidP="007715D6">
            <w:pPr>
              <w:jc w:val="both"/>
              <w:rPr>
                <w:lang w:val="bg-BG"/>
              </w:rPr>
            </w:pPr>
          </w:p>
          <w:p w:rsidR="009D6C62" w:rsidRDefault="009D6C62" w:rsidP="007715D6">
            <w:pPr>
              <w:jc w:val="both"/>
              <w:rPr>
                <w:lang w:val="bg-BG"/>
              </w:rPr>
            </w:pPr>
          </w:p>
          <w:p w:rsidR="009D6C62" w:rsidRDefault="009D6C62" w:rsidP="007715D6">
            <w:pPr>
              <w:jc w:val="both"/>
              <w:rPr>
                <w:lang w:val="bg-BG"/>
              </w:rPr>
            </w:pPr>
          </w:p>
          <w:p w:rsidR="009D6C62" w:rsidRDefault="009D6C62" w:rsidP="007715D6">
            <w:pPr>
              <w:jc w:val="both"/>
              <w:rPr>
                <w:lang w:val="bg-BG"/>
              </w:rPr>
            </w:pPr>
          </w:p>
          <w:p w:rsidR="009D6C62" w:rsidRDefault="009D6C62" w:rsidP="007715D6">
            <w:pPr>
              <w:jc w:val="both"/>
              <w:rPr>
                <w:lang w:val="bg-BG"/>
              </w:rPr>
            </w:pPr>
          </w:p>
          <w:p w:rsidR="009D6C62" w:rsidRDefault="009D6C62" w:rsidP="007715D6">
            <w:pPr>
              <w:jc w:val="both"/>
              <w:rPr>
                <w:lang w:val="bg-BG"/>
              </w:rPr>
            </w:pPr>
          </w:p>
          <w:p w:rsidR="009D6C62" w:rsidRDefault="009D6C62" w:rsidP="007715D6">
            <w:pPr>
              <w:jc w:val="both"/>
              <w:rPr>
                <w:lang w:val="bg-BG"/>
              </w:rPr>
            </w:pPr>
          </w:p>
          <w:p w:rsidR="009D6C62" w:rsidRDefault="009D6C62" w:rsidP="007715D6">
            <w:pPr>
              <w:jc w:val="both"/>
              <w:rPr>
                <w:lang w:val="bg-BG"/>
              </w:rPr>
            </w:pPr>
          </w:p>
          <w:p w:rsidR="009D6C62" w:rsidRDefault="009D6C62" w:rsidP="007715D6">
            <w:pPr>
              <w:jc w:val="both"/>
              <w:rPr>
                <w:lang w:val="bg-BG"/>
              </w:rPr>
            </w:pPr>
          </w:p>
          <w:p w:rsidR="009D6C62" w:rsidRDefault="009D6C62" w:rsidP="007715D6">
            <w:pPr>
              <w:jc w:val="both"/>
              <w:rPr>
                <w:lang w:val="bg-BG"/>
              </w:rPr>
            </w:pPr>
          </w:p>
          <w:p w:rsidR="009D6C62" w:rsidRDefault="009D6C62" w:rsidP="007715D6">
            <w:pPr>
              <w:jc w:val="both"/>
              <w:rPr>
                <w:lang w:val="bg-BG"/>
              </w:rPr>
            </w:pPr>
          </w:p>
          <w:p w:rsidR="009D6C62" w:rsidRDefault="009D6C62" w:rsidP="007715D6">
            <w:pPr>
              <w:jc w:val="both"/>
              <w:rPr>
                <w:lang w:val="bg-BG"/>
              </w:rPr>
            </w:pPr>
          </w:p>
          <w:p w:rsidR="009D6C62" w:rsidRDefault="009D6C62" w:rsidP="007715D6">
            <w:pPr>
              <w:jc w:val="both"/>
              <w:rPr>
                <w:lang w:val="bg-BG"/>
              </w:rPr>
            </w:pPr>
          </w:p>
          <w:p w:rsidR="009D6C62" w:rsidRDefault="009D6C62" w:rsidP="007715D6">
            <w:pPr>
              <w:jc w:val="both"/>
              <w:rPr>
                <w:lang w:val="bg-BG"/>
              </w:rPr>
            </w:pPr>
          </w:p>
          <w:p w:rsidR="009D6C62" w:rsidRDefault="009D6C62" w:rsidP="007715D6">
            <w:pPr>
              <w:jc w:val="both"/>
              <w:rPr>
                <w:lang w:val="bg-BG"/>
              </w:rPr>
            </w:pPr>
          </w:p>
          <w:p w:rsidR="009D6C62" w:rsidRDefault="009D6C62" w:rsidP="007715D6">
            <w:pPr>
              <w:jc w:val="both"/>
              <w:rPr>
                <w:lang w:val="bg-BG"/>
              </w:rPr>
            </w:pPr>
          </w:p>
          <w:p w:rsidR="009D6C62" w:rsidRDefault="009D6C62" w:rsidP="007715D6">
            <w:pPr>
              <w:jc w:val="both"/>
              <w:rPr>
                <w:lang w:val="bg-BG"/>
              </w:rPr>
            </w:pPr>
          </w:p>
          <w:p w:rsidR="009D6C62" w:rsidRDefault="009D6C62" w:rsidP="007715D6">
            <w:pPr>
              <w:jc w:val="both"/>
              <w:rPr>
                <w:lang w:val="bg-BG"/>
              </w:rPr>
            </w:pPr>
          </w:p>
          <w:p w:rsidR="009D6C62" w:rsidRDefault="009D6C62" w:rsidP="007715D6">
            <w:pPr>
              <w:jc w:val="both"/>
              <w:rPr>
                <w:lang w:val="bg-BG"/>
              </w:rPr>
            </w:pPr>
          </w:p>
          <w:p w:rsidR="008A007A" w:rsidRDefault="008A007A" w:rsidP="007715D6">
            <w:pPr>
              <w:jc w:val="both"/>
              <w:rPr>
                <w:lang w:val="bg-BG"/>
              </w:rPr>
            </w:pPr>
          </w:p>
          <w:p w:rsidR="008A007A" w:rsidRDefault="008A007A" w:rsidP="007715D6">
            <w:pPr>
              <w:jc w:val="both"/>
              <w:rPr>
                <w:lang w:val="bg-BG"/>
              </w:rPr>
            </w:pPr>
          </w:p>
          <w:p w:rsidR="008A007A" w:rsidRDefault="008A007A" w:rsidP="007715D6">
            <w:pPr>
              <w:jc w:val="both"/>
              <w:rPr>
                <w:lang w:val="bg-BG"/>
              </w:rPr>
            </w:pPr>
          </w:p>
          <w:p w:rsidR="008A007A" w:rsidRDefault="008A007A" w:rsidP="007715D6">
            <w:pPr>
              <w:jc w:val="both"/>
              <w:rPr>
                <w:lang w:val="bg-BG"/>
              </w:rPr>
            </w:pPr>
          </w:p>
          <w:p w:rsidR="008A007A" w:rsidRDefault="008A007A" w:rsidP="007715D6">
            <w:pPr>
              <w:jc w:val="both"/>
              <w:rPr>
                <w:lang w:val="bg-BG"/>
              </w:rPr>
            </w:pPr>
          </w:p>
          <w:p w:rsidR="008A007A" w:rsidRDefault="008A007A" w:rsidP="008A007A">
            <w:pPr>
              <w:jc w:val="both"/>
              <w:rPr>
                <w:lang w:val="bg-BG"/>
              </w:rPr>
            </w:pPr>
            <w:r>
              <w:rPr>
                <w:lang w:val="bg-BG"/>
              </w:rPr>
              <w:t>По наше мнение санкциите са съобразени с тежестта на евентуалното бездействие. Както се вижда от направеното от оператора сравнение с роуминга са между пет и двадесет пъти по-ниски, което е аргумент в подкрепа на тезата ни за пропорционалност и съобраз</w:t>
            </w:r>
            <w:r w:rsidR="00A55F41">
              <w:rPr>
                <w:lang w:val="bg-BG"/>
              </w:rPr>
              <w:t>яване</w:t>
            </w:r>
            <w:r>
              <w:rPr>
                <w:lang w:val="bg-BG"/>
              </w:rPr>
              <w:t xml:space="preserve"> с естеството на нарушението и </w:t>
            </w:r>
            <w:r>
              <w:rPr>
                <w:lang w:val="bg-BG"/>
              </w:rPr>
              <w:lastRenderedPageBreak/>
              <w:t>потенциала му да засегне потребителите. Тук не бива да се забравя, че потенциално засегнати от нарушението не са само потребителите, ползващи международни обаждания към даден конкретен момент, а всеки потребител, който в бъдеще може да осъществява такива обаждания. Подобно е и при роуминга – макар засегнати да са само пътуващите (или често пътуващите в Европейския съюз), при определянето на законоустановения размер на санкциите са взети предвид всички потребители, които потенциално биха могли да бъдат засегнати.</w:t>
            </w:r>
          </w:p>
          <w:p w:rsidR="008A007A" w:rsidRPr="008A007A" w:rsidRDefault="008A007A" w:rsidP="008A007A">
            <w:pPr>
              <w:jc w:val="both"/>
              <w:rPr>
                <w:lang w:val="bg-BG"/>
              </w:rPr>
            </w:pPr>
            <w:r w:rsidRPr="008A007A">
              <w:rPr>
                <w:lang w:val="bg-BG"/>
              </w:rPr>
              <w:t>В допълнение, що се отнася по предвидена санкционна разпоредба за нарушение на чл. 5а, пар. 4 от Регламента (санкция от 5 000 до 50</w:t>
            </w:r>
            <w:r w:rsidRPr="008A007A">
              <w:t> </w:t>
            </w:r>
            <w:r w:rsidRPr="008A007A">
              <w:rPr>
                <w:lang w:val="bg-BG"/>
              </w:rPr>
              <w:t>000 лв.), както е посочено в мотивите предложените минимални и максимални размери са съобразени с обстоятелството, че евентуалното нарушение може да засегне правната сфера на конкретен потребител, а не и на голяма група потребители или на всички потребители на доставчика. Същевременно обаче, твърде нисък размер на санкцията ще я лиши от възпиращия ѝ ефект.</w:t>
            </w:r>
          </w:p>
        </w:tc>
      </w:tr>
    </w:tbl>
    <w:p w:rsidR="000C4349" w:rsidRPr="000E3207" w:rsidRDefault="000C4349" w:rsidP="00095F4E">
      <w:pPr>
        <w:ind w:right="-171"/>
        <w:rPr>
          <w:lang w:val="bg-BG"/>
        </w:rPr>
      </w:pPr>
    </w:p>
    <w:sectPr w:rsidR="000C4349" w:rsidRPr="000E3207" w:rsidSect="00F853BB">
      <w:footerReference w:type="default" r:id="rId8"/>
      <w:pgSz w:w="16838" w:h="11906" w:orient="landscape"/>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5BE" w:rsidRDefault="00DC15BE" w:rsidP="000C519C">
      <w:r>
        <w:separator/>
      </w:r>
    </w:p>
  </w:endnote>
  <w:endnote w:type="continuationSeparator" w:id="0">
    <w:p w:rsidR="00DC15BE" w:rsidRDefault="00DC15BE" w:rsidP="000C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3A0" w:rsidRDefault="003053A0">
    <w:pPr>
      <w:pStyle w:val="Footer"/>
      <w:jc w:val="right"/>
    </w:pPr>
    <w:r>
      <w:fldChar w:fldCharType="begin"/>
    </w:r>
    <w:r>
      <w:instrText xml:space="preserve"> PAGE   \* MERGEFORMAT </w:instrText>
    </w:r>
    <w:r>
      <w:fldChar w:fldCharType="separate"/>
    </w:r>
    <w:r w:rsidR="007874C7">
      <w:rPr>
        <w:noProof/>
      </w:rPr>
      <w:t>4</w:t>
    </w:r>
    <w:r>
      <w:rPr>
        <w:noProof/>
      </w:rPr>
      <w:fldChar w:fldCharType="end"/>
    </w:r>
  </w:p>
  <w:p w:rsidR="003053A0" w:rsidRDefault="00305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5BE" w:rsidRDefault="00DC15BE" w:rsidP="000C519C">
      <w:r>
        <w:separator/>
      </w:r>
    </w:p>
  </w:footnote>
  <w:footnote w:type="continuationSeparator" w:id="0">
    <w:p w:rsidR="00DC15BE" w:rsidRDefault="00DC15BE" w:rsidP="000C5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56DE2"/>
    <w:multiLevelType w:val="multilevel"/>
    <w:tmpl w:val="86B09E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7F33EA"/>
    <w:multiLevelType w:val="multilevel"/>
    <w:tmpl w:val="A68E058E"/>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0B27FC"/>
    <w:multiLevelType w:val="hybridMultilevel"/>
    <w:tmpl w:val="BEAC7FE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65A4E8B"/>
    <w:multiLevelType w:val="hybridMultilevel"/>
    <w:tmpl w:val="20FE1A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9C5696A"/>
    <w:multiLevelType w:val="hybridMultilevel"/>
    <w:tmpl w:val="233040EA"/>
    <w:lvl w:ilvl="0" w:tplc="4662A28A">
      <w:start w:val="1"/>
      <w:numFmt w:val="decimal"/>
      <w:lvlText w:val="%1."/>
      <w:lvlJc w:val="left"/>
      <w:pPr>
        <w:ind w:left="720" w:hanging="360"/>
      </w:pPr>
      <w:rPr>
        <w:rFonts w:hint="default"/>
        <w:i/>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BD3436D"/>
    <w:multiLevelType w:val="multilevel"/>
    <w:tmpl w:val="010EC0E2"/>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8165AA"/>
    <w:multiLevelType w:val="multilevel"/>
    <w:tmpl w:val="D9B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D40695"/>
    <w:multiLevelType w:val="multilevel"/>
    <w:tmpl w:val="758E54B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493717"/>
    <w:multiLevelType w:val="hybridMultilevel"/>
    <w:tmpl w:val="564CFB9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5669311E"/>
    <w:multiLevelType w:val="multilevel"/>
    <w:tmpl w:val="33EC602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610C4D"/>
    <w:multiLevelType w:val="hybridMultilevel"/>
    <w:tmpl w:val="654EBB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60224206"/>
    <w:multiLevelType w:val="multilevel"/>
    <w:tmpl w:val="2128768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60056A"/>
    <w:multiLevelType w:val="hybridMultilevel"/>
    <w:tmpl w:val="40A80158"/>
    <w:lvl w:ilvl="0" w:tplc="2146EFF6">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69C750B8"/>
    <w:multiLevelType w:val="hybridMultilevel"/>
    <w:tmpl w:val="29109A3A"/>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3"/>
  </w:num>
  <w:num w:numId="2">
    <w:abstractNumId w:val="11"/>
  </w:num>
  <w:num w:numId="3">
    <w:abstractNumId w:val="0"/>
  </w:num>
  <w:num w:numId="4">
    <w:abstractNumId w:val="5"/>
  </w:num>
  <w:num w:numId="5">
    <w:abstractNumId w:val="1"/>
  </w:num>
  <w:num w:numId="6">
    <w:abstractNumId w:val="6"/>
  </w:num>
  <w:num w:numId="7">
    <w:abstractNumId w:val="8"/>
  </w:num>
  <w:num w:numId="8">
    <w:abstractNumId w:val="3"/>
  </w:num>
  <w:num w:numId="9">
    <w:abstractNumId w:val="10"/>
  </w:num>
  <w:num w:numId="10">
    <w:abstractNumId w:val="2"/>
  </w:num>
  <w:num w:numId="11">
    <w:abstractNumId w:val="12"/>
  </w:num>
  <w:num w:numId="12">
    <w:abstractNumId w:val="7"/>
  </w:num>
  <w:num w:numId="13">
    <w:abstractNumId w:val="9"/>
  </w:num>
  <w:num w:numId="1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9BD"/>
    <w:rsid w:val="00015528"/>
    <w:rsid w:val="000208A2"/>
    <w:rsid w:val="0002478A"/>
    <w:rsid w:val="00026DF9"/>
    <w:rsid w:val="00027773"/>
    <w:rsid w:val="00027AEE"/>
    <w:rsid w:val="0003151C"/>
    <w:rsid w:val="000339CA"/>
    <w:rsid w:val="00033B56"/>
    <w:rsid w:val="00037BF6"/>
    <w:rsid w:val="0004624F"/>
    <w:rsid w:val="000665A0"/>
    <w:rsid w:val="00066B94"/>
    <w:rsid w:val="00070A8D"/>
    <w:rsid w:val="00071368"/>
    <w:rsid w:val="00080209"/>
    <w:rsid w:val="0008325E"/>
    <w:rsid w:val="000837CF"/>
    <w:rsid w:val="000858A3"/>
    <w:rsid w:val="0008721E"/>
    <w:rsid w:val="00091A13"/>
    <w:rsid w:val="000948C5"/>
    <w:rsid w:val="00095F4E"/>
    <w:rsid w:val="000975CC"/>
    <w:rsid w:val="000A67DE"/>
    <w:rsid w:val="000B12A4"/>
    <w:rsid w:val="000B2B39"/>
    <w:rsid w:val="000B56A1"/>
    <w:rsid w:val="000C4349"/>
    <w:rsid w:val="000C4FC3"/>
    <w:rsid w:val="000C519C"/>
    <w:rsid w:val="000D06E7"/>
    <w:rsid w:val="000E3207"/>
    <w:rsid w:val="000E5917"/>
    <w:rsid w:val="000F6D8F"/>
    <w:rsid w:val="0011478E"/>
    <w:rsid w:val="00115D65"/>
    <w:rsid w:val="001169B5"/>
    <w:rsid w:val="00120D63"/>
    <w:rsid w:val="001229AB"/>
    <w:rsid w:val="00126360"/>
    <w:rsid w:val="00131C93"/>
    <w:rsid w:val="00133485"/>
    <w:rsid w:val="00142366"/>
    <w:rsid w:val="00144681"/>
    <w:rsid w:val="00145960"/>
    <w:rsid w:val="00146F21"/>
    <w:rsid w:val="00151F04"/>
    <w:rsid w:val="00152195"/>
    <w:rsid w:val="00154B49"/>
    <w:rsid w:val="00154D0C"/>
    <w:rsid w:val="00157513"/>
    <w:rsid w:val="00164BA2"/>
    <w:rsid w:val="001672C6"/>
    <w:rsid w:val="00170593"/>
    <w:rsid w:val="00181E1B"/>
    <w:rsid w:val="00182867"/>
    <w:rsid w:val="00186CF5"/>
    <w:rsid w:val="0018756D"/>
    <w:rsid w:val="00196BBA"/>
    <w:rsid w:val="001A10FC"/>
    <w:rsid w:val="001A2397"/>
    <w:rsid w:val="001A3CFC"/>
    <w:rsid w:val="001A5614"/>
    <w:rsid w:val="001A5B10"/>
    <w:rsid w:val="001B298C"/>
    <w:rsid w:val="001B433C"/>
    <w:rsid w:val="001C058A"/>
    <w:rsid w:val="001C40D1"/>
    <w:rsid w:val="001C68AF"/>
    <w:rsid w:val="001C7AC7"/>
    <w:rsid w:val="001D03A2"/>
    <w:rsid w:val="001D07AA"/>
    <w:rsid w:val="001D4281"/>
    <w:rsid w:val="001D443B"/>
    <w:rsid w:val="001E6F2F"/>
    <w:rsid w:val="00214D2C"/>
    <w:rsid w:val="00222232"/>
    <w:rsid w:val="00226999"/>
    <w:rsid w:val="00227E31"/>
    <w:rsid w:val="002349B4"/>
    <w:rsid w:val="002367BE"/>
    <w:rsid w:val="002378DB"/>
    <w:rsid w:val="002534A5"/>
    <w:rsid w:val="002566E4"/>
    <w:rsid w:val="00271B66"/>
    <w:rsid w:val="00277D50"/>
    <w:rsid w:val="00280BA6"/>
    <w:rsid w:val="00281270"/>
    <w:rsid w:val="00287286"/>
    <w:rsid w:val="002876A5"/>
    <w:rsid w:val="0029070F"/>
    <w:rsid w:val="002948A5"/>
    <w:rsid w:val="002B047C"/>
    <w:rsid w:val="002B6E3B"/>
    <w:rsid w:val="002C6077"/>
    <w:rsid w:val="002E2F67"/>
    <w:rsid w:val="002E5EE8"/>
    <w:rsid w:val="002F15F0"/>
    <w:rsid w:val="002F5E66"/>
    <w:rsid w:val="0030230E"/>
    <w:rsid w:val="003053A0"/>
    <w:rsid w:val="00316EBE"/>
    <w:rsid w:val="0031776E"/>
    <w:rsid w:val="00322156"/>
    <w:rsid w:val="003232A0"/>
    <w:rsid w:val="00327EA4"/>
    <w:rsid w:val="00331EBE"/>
    <w:rsid w:val="00344A08"/>
    <w:rsid w:val="003456AC"/>
    <w:rsid w:val="00354062"/>
    <w:rsid w:val="00355806"/>
    <w:rsid w:val="003602CB"/>
    <w:rsid w:val="00361AD9"/>
    <w:rsid w:val="00364371"/>
    <w:rsid w:val="00383719"/>
    <w:rsid w:val="00386943"/>
    <w:rsid w:val="003906F9"/>
    <w:rsid w:val="003A2898"/>
    <w:rsid w:val="003A32C6"/>
    <w:rsid w:val="003A4181"/>
    <w:rsid w:val="003A4C3B"/>
    <w:rsid w:val="003B1FB4"/>
    <w:rsid w:val="003B3D22"/>
    <w:rsid w:val="003C2A89"/>
    <w:rsid w:val="003C4FEE"/>
    <w:rsid w:val="003D0560"/>
    <w:rsid w:val="003E6BB7"/>
    <w:rsid w:val="00407C01"/>
    <w:rsid w:val="00413E35"/>
    <w:rsid w:val="0041405E"/>
    <w:rsid w:val="0041482E"/>
    <w:rsid w:val="00421EC2"/>
    <w:rsid w:val="00434076"/>
    <w:rsid w:val="0043454B"/>
    <w:rsid w:val="00441E85"/>
    <w:rsid w:val="00445B8E"/>
    <w:rsid w:val="00445D28"/>
    <w:rsid w:val="00447172"/>
    <w:rsid w:val="00447A38"/>
    <w:rsid w:val="00454113"/>
    <w:rsid w:val="00454C70"/>
    <w:rsid w:val="00464861"/>
    <w:rsid w:val="00467D95"/>
    <w:rsid w:val="00477B4C"/>
    <w:rsid w:val="0048389D"/>
    <w:rsid w:val="004A2A41"/>
    <w:rsid w:val="004B0CE9"/>
    <w:rsid w:val="004B3780"/>
    <w:rsid w:val="004B59EC"/>
    <w:rsid w:val="004C25AC"/>
    <w:rsid w:val="004C4C8C"/>
    <w:rsid w:val="004C7346"/>
    <w:rsid w:val="004D043E"/>
    <w:rsid w:val="004F1560"/>
    <w:rsid w:val="004F34B0"/>
    <w:rsid w:val="00506FE9"/>
    <w:rsid w:val="00511E01"/>
    <w:rsid w:val="00514658"/>
    <w:rsid w:val="00514CE1"/>
    <w:rsid w:val="005229B0"/>
    <w:rsid w:val="005232BF"/>
    <w:rsid w:val="00525569"/>
    <w:rsid w:val="00533EB1"/>
    <w:rsid w:val="005419EE"/>
    <w:rsid w:val="00553985"/>
    <w:rsid w:val="00556B40"/>
    <w:rsid w:val="00570D38"/>
    <w:rsid w:val="005719D2"/>
    <w:rsid w:val="005727A4"/>
    <w:rsid w:val="005767BC"/>
    <w:rsid w:val="00576C0A"/>
    <w:rsid w:val="00586E01"/>
    <w:rsid w:val="005904FA"/>
    <w:rsid w:val="00595FD7"/>
    <w:rsid w:val="00597566"/>
    <w:rsid w:val="005B47D4"/>
    <w:rsid w:val="005E25E8"/>
    <w:rsid w:val="005E562C"/>
    <w:rsid w:val="005F132D"/>
    <w:rsid w:val="005F58E6"/>
    <w:rsid w:val="005F6FE0"/>
    <w:rsid w:val="00602020"/>
    <w:rsid w:val="0060275B"/>
    <w:rsid w:val="00604628"/>
    <w:rsid w:val="00605525"/>
    <w:rsid w:val="0062080F"/>
    <w:rsid w:val="00620EFE"/>
    <w:rsid w:val="00624475"/>
    <w:rsid w:val="00633A7F"/>
    <w:rsid w:val="006346A7"/>
    <w:rsid w:val="006367AB"/>
    <w:rsid w:val="00643AE2"/>
    <w:rsid w:val="00654B82"/>
    <w:rsid w:val="0065673F"/>
    <w:rsid w:val="00657CC1"/>
    <w:rsid w:val="006615BD"/>
    <w:rsid w:val="0067108F"/>
    <w:rsid w:val="006808EB"/>
    <w:rsid w:val="00680BC1"/>
    <w:rsid w:val="00693613"/>
    <w:rsid w:val="00694C2C"/>
    <w:rsid w:val="006A4808"/>
    <w:rsid w:val="006A480E"/>
    <w:rsid w:val="006F0879"/>
    <w:rsid w:val="006F0EEC"/>
    <w:rsid w:val="006F59F1"/>
    <w:rsid w:val="006F5ADA"/>
    <w:rsid w:val="006F756D"/>
    <w:rsid w:val="007074AA"/>
    <w:rsid w:val="00710467"/>
    <w:rsid w:val="00720200"/>
    <w:rsid w:val="0072021A"/>
    <w:rsid w:val="00721CC1"/>
    <w:rsid w:val="00723DF5"/>
    <w:rsid w:val="00726ADE"/>
    <w:rsid w:val="007302D4"/>
    <w:rsid w:val="007405E7"/>
    <w:rsid w:val="00740CA7"/>
    <w:rsid w:val="007439B6"/>
    <w:rsid w:val="00765852"/>
    <w:rsid w:val="007715D6"/>
    <w:rsid w:val="00777A92"/>
    <w:rsid w:val="00781107"/>
    <w:rsid w:val="007873D1"/>
    <w:rsid w:val="007874C7"/>
    <w:rsid w:val="0079131B"/>
    <w:rsid w:val="007A1561"/>
    <w:rsid w:val="007B04A8"/>
    <w:rsid w:val="007B0F84"/>
    <w:rsid w:val="007B2546"/>
    <w:rsid w:val="007C33ED"/>
    <w:rsid w:val="007C5018"/>
    <w:rsid w:val="007E3168"/>
    <w:rsid w:val="007E750D"/>
    <w:rsid w:val="007F3F3E"/>
    <w:rsid w:val="00810972"/>
    <w:rsid w:val="00814955"/>
    <w:rsid w:val="008203F4"/>
    <w:rsid w:val="00821DA7"/>
    <w:rsid w:val="008344D4"/>
    <w:rsid w:val="00836587"/>
    <w:rsid w:val="00841BA9"/>
    <w:rsid w:val="0084529A"/>
    <w:rsid w:val="00846D32"/>
    <w:rsid w:val="0085268A"/>
    <w:rsid w:val="00852C96"/>
    <w:rsid w:val="00856346"/>
    <w:rsid w:val="00860ECE"/>
    <w:rsid w:val="00870212"/>
    <w:rsid w:val="00873198"/>
    <w:rsid w:val="008744EA"/>
    <w:rsid w:val="00883D75"/>
    <w:rsid w:val="008A007A"/>
    <w:rsid w:val="008B6A9F"/>
    <w:rsid w:val="008B7D32"/>
    <w:rsid w:val="008C7E69"/>
    <w:rsid w:val="008D68EF"/>
    <w:rsid w:val="008E08CE"/>
    <w:rsid w:val="008E37F3"/>
    <w:rsid w:val="00904FF0"/>
    <w:rsid w:val="00906B80"/>
    <w:rsid w:val="00911359"/>
    <w:rsid w:val="00916D7D"/>
    <w:rsid w:val="00927A7B"/>
    <w:rsid w:val="009310BC"/>
    <w:rsid w:val="0093534A"/>
    <w:rsid w:val="009378C5"/>
    <w:rsid w:val="00951E79"/>
    <w:rsid w:val="00954BE4"/>
    <w:rsid w:val="00954F65"/>
    <w:rsid w:val="00957EDD"/>
    <w:rsid w:val="00963675"/>
    <w:rsid w:val="009862D7"/>
    <w:rsid w:val="009A6669"/>
    <w:rsid w:val="009B18A6"/>
    <w:rsid w:val="009B1D33"/>
    <w:rsid w:val="009B63DE"/>
    <w:rsid w:val="009C1D0F"/>
    <w:rsid w:val="009C4D56"/>
    <w:rsid w:val="009D3A4B"/>
    <w:rsid w:val="009D4F55"/>
    <w:rsid w:val="009D576C"/>
    <w:rsid w:val="009D6397"/>
    <w:rsid w:val="009D6C62"/>
    <w:rsid w:val="009E3226"/>
    <w:rsid w:val="009F4A7C"/>
    <w:rsid w:val="009F5722"/>
    <w:rsid w:val="00A04B7E"/>
    <w:rsid w:val="00A0666B"/>
    <w:rsid w:val="00A11A3D"/>
    <w:rsid w:val="00A12BDF"/>
    <w:rsid w:val="00A14D4F"/>
    <w:rsid w:val="00A174A3"/>
    <w:rsid w:val="00A20FF2"/>
    <w:rsid w:val="00A22C2F"/>
    <w:rsid w:val="00A268BD"/>
    <w:rsid w:val="00A3227C"/>
    <w:rsid w:val="00A529AA"/>
    <w:rsid w:val="00A52E38"/>
    <w:rsid w:val="00A55F41"/>
    <w:rsid w:val="00A61F19"/>
    <w:rsid w:val="00A62E20"/>
    <w:rsid w:val="00A64ABA"/>
    <w:rsid w:val="00A64EF5"/>
    <w:rsid w:val="00A72FD8"/>
    <w:rsid w:val="00A8375B"/>
    <w:rsid w:val="00A84218"/>
    <w:rsid w:val="00A87087"/>
    <w:rsid w:val="00A95A75"/>
    <w:rsid w:val="00AA198B"/>
    <w:rsid w:val="00AA5482"/>
    <w:rsid w:val="00AA7181"/>
    <w:rsid w:val="00AB2B85"/>
    <w:rsid w:val="00AB717B"/>
    <w:rsid w:val="00AC3516"/>
    <w:rsid w:val="00AC633D"/>
    <w:rsid w:val="00AE6C6A"/>
    <w:rsid w:val="00B27FF7"/>
    <w:rsid w:val="00B339DD"/>
    <w:rsid w:val="00B41752"/>
    <w:rsid w:val="00B428AC"/>
    <w:rsid w:val="00B4701F"/>
    <w:rsid w:val="00B55B2C"/>
    <w:rsid w:val="00B5742F"/>
    <w:rsid w:val="00B61458"/>
    <w:rsid w:val="00B70572"/>
    <w:rsid w:val="00B70A92"/>
    <w:rsid w:val="00B72767"/>
    <w:rsid w:val="00B759A4"/>
    <w:rsid w:val="00B85ED9"/>
    <w:rsid w:val="00B90360"/>
    <w:rsid w:val="00B9538D"/>
    <w:rsid w:val="00B96199"/>
    <w:rsid w:val="00BA7313"/>
    <w:rsid w:val="00BC2E6E"/>
    <w:rsid w:val="00BD19BB"/>
    <w:rsid w:val="00BD28CB"/>
    <w:rsid w:val="00BE09D1"/>
    <w:rsid w:val="00BE6B21"/>
    <w:rsid w:val="00BF640A"/>
    <w:rsid w:val="00BF6C4B"/>
    <w:rsid w:val="00C00BA6"/>
    <w:rsid w:val="00C047ED"/>
    <w:rsid w:val="00C05CF8"/>
    <w:rsid w:val="00C07658"/>
    <w:rsid w:val="00C12E50"/>
    <w:rsid w:val="00C179A6"/>
    <w:rsid w:val="00C246D3"/>
    <w:rsid w:val="00C31AAE"/>
    <w:rsid w:val="00C333A4"/>
    <w:rsid w:val="00C337D1"/>
    <w:rsid w:val="00C35FD1"/>
    <w:rsid w:val="00C37117"/>
    <w:rsid w:val="00C372CB"/>
    <w:rsid w:val="00C42787"/>
    <w:rsid w:val="00C427BF"/>
    <w:rsid w:val="00C455B1"/>
    <w:rsid w:val="00C462EC"/>
    <w:rsid w:val="00C53EE3"/>
    <w:rsid w:val="00C66609"/>
    <w:rsid w:val="00C72ADB"/>
    <w:rsid w:val="00C738EF"/>
    <w:rsid w:val="00C7764B"/>
    <w:rsid w:val="00C82C1C"/>
    <w:rsid w:val="00C836E1"/>
    <w:rsid w:val="00C839BD"/>
    <w:rsid w:val="00C91C02"/>
    <w:rsid w:val="00C93E63"/>
    <w:rsid w:val="00C96054"/>
    <w:rsid w:val="00CA098F"/>
    <w:rsid w:val="00CB7C45"/>
    <w:rsid w:val="00CC424D"/>
    <w:rsid w:val="00CC71F8"/>
    <w:rsid w:val="00CD228B"/>
    <w:rsid w:val="00CD4612"/>
    <w:rsid w:val="00CD6BCC"/>
    <w:rsid w:val="00CD71AB"/>
    <w:rsid w:val="00CE2B11"/>
    <w:rsid w:val="00CE356B"/>
    <w:rsid w:val="00CF0CEF"/>
    <w:rsid w:val="00CF1700"/>
    <w:rsid w:val="00CF1C53"/>
    <w:rsid w:val="00D019F5"/>
    <w:rsid w:val="00D07304"/>
    <w:rsid w:val="00D10BB1"/>
    <w:rsid w:val="00D14137"/>
    <w:rsid w:val="00D17FDC"/>
    <w:rsid w:val="00D23026"/>
    <w:rsid w:val="00D2426D"/>
    <w:rsid w:val="00D351F5"/>
    <w:rsid w:val="00D35C7B"/>
    <w:rsid w:val="00D419F4"/>
    <w:rsid w:val="00D46836"/>
    <w:rsid w:val="00D46FC3"/>
    <w:rsid w:val="00D518E3"/>
    <w:rsid w:val="00D5755E"/>
    <w:rsid w:val="00D60D5C"/>
    <w:rsid w:val="00D61DA8"/>
    <w:rsid w:val="00D629EC"/>
    <w:rsid w:val="00D64DD0"/>
    <w:rsid w:val="00D6675E"/>
    <w:rsid w:val="00D72D6D"/>
    <w:rsid w:val="00D73461"/>
    <w:rsid w:val="00D80EDC"/>
    <w:rsid w:val="00D81228"/>
    <w:rsid w:val="00D83A5B"/>
    <w:rsid w:val="00D924BF"/>
    <w:rsid w:val="00D94BFF"/>
    <w:rsid w:val="00D95C2A"/>
    <w:rsid w:val="00DA257F"/>
    <w:rsid w:val="00DB423E"/>
    <w:rsid w:val="00DC127A"/>
    <w:rsid w:val="00DC15BE"/>
    <w:rsid w:val="00DC305C"/>
    <w:rsid w:val="00DC3B82"/>
    <w:rsid w:val="00DD2418"/>
    <w:rsid w:val="00DE48E1"/>
    <w:rsid w:val="00E02738"/>
    <w:rsid w:val="00E05C85"/>
    <w:rsid w:val="00E1463E"/>
    <w:rsid w:val="00E15E42"/>
    <w:rsid w:val="00E168AC"/>
    <w:rsid w:val="00E3193C"/>
    <w:rsid w:val="00E325F0"/>
    <w:rsid w:val="00E535E4"/>
    <w:rsid w:val="00E56161"/>
    <w:rsid w:val="00E56CBF"/>
    <w:rsid w:val="00E578D0"/>
    <w:rsid w:val="00E579A1"/>
    <w:rsid w:val="00E57CE5"/>
    <w:rsid w:val="00E60513"/>
    <w:rsid w:val="00E65023"/>
    <w:rsid w:val="00E70CEA"/>
    <w:rsid w:val="00E76E80"/>
    <w:rsid w:val="00E800C9"/>
    <w:rsid w:val="00E838A9"/>
    <w:rsid w:val="00E84942"/>
    <w:rsid w:val="00E87710"/>
    <w:rsid w:val="00E927CD"/>
    <w:rsid w:val="00EA5518"/>
    <w:rsid w:val="00EB2E00"/>
    <w:rsid w:val="00EB4DFC"/>
    <w:rsid w:val="00EB546F"/>
    <w:rsid w:val="00ED37A8"/>
    <w:rsid w:val="00ED6006"/>
    <w:rsid w:val="00EE62C0"/>
    <w:rsid w:val="00EF10F2"/>
    <w:rsid w:val="00F014AE"/>
    <w:rsid w:val="00F1472C"/>
    <w:rsid w:val="00F17C36"/>
    <w:rsid w:val="00F21F90"/>
    <w:rsid w:val="00F26151"/>
    <w:rsid w:val="00F26FF5"/>
    <w:rsid w:val="00F346AE"/>
    <w:rsid w:val="00F36517"/>
    <w:rsid w:val="00F4231A"/>
    <w:rsid w:val="00F65DBA"/>
    <w:rsid w:val="00F67642"/>
    <w:rsid w:val="00F70ED9"/>
    <w:rsid w:val="00F74EDB"/>
    <w:rsid w:val="00F75D3E"/>
    <w:rsid w:val="00F81F89"/>
    <w:rsid w:val="00F83892"/>
    <w:rsid w:val="00F83DA8"/>
    <w:rsid w:val="00F853BB"/>
    <w:rsid w:val="00FA1B07"/>
    <w:rsid w:val="00FA65CD"/>
    <w:rsid w:val="00FA6B22"/>
    <w:rsid w:val="00FB00FE"/>
    <w:rsid w:val="00FC6D80"/>
    <w:rsid w:val="00FD720E"/>
    <w:rsid w:val="00FE0810"/>
    <w:rsid w:val="00FF309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832F960-8560-45D0-AECA-C0A0A92A7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5F0"/>
    <w:rPr>
      <w:rFonts w:ascii="Times New Roman" w:eastAsia="Times New Roman" w:hAnsi="Times New Roman"/>
      <w:sz w:val="24"/>
      <w:szCs w:val="24"/>
      <w:lang w:val="en-GB" w:eastAsia="en-US"/>
    </w:rPr>
  </w:style>
  <w:style w:type="paragraph" w:styleId="Heading3">
    <w:name w:val="heading 3"/>
    <w:basedOn w:val="Normal"/>
    <w:next w:val="Normal"/>
    <w:link w:val="Heading3Char"/>
    <w:semiHidden/>
    <w:unhideWhenUsed/>
    <w:qFormat/>
    <w:locked/>
    <w:rsid w:val="002349B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026"/>
    <w:pPr>
      <w:ind w:left="720"/>
    </w:pPr>
  </w:style>
  <w:style w:type="table" w:styleId="TableGrid">
    <w:name w:val="Table Grid"/>
    <w:basedOn w:val="TableNormal"/>
    <w:uiPriority w:val="59"/>
    <w:rsid w:val="00BA731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C519C"/>
    <w:pPr>
      <w:tabs>
        <w:tab w:val="center" w:pos="4536"/>
        <w:tab w:val="right" w:pos="9072"/>
      </w:tabs>
    </w:pPr>
  </w:style>
  <w:style w:type="character" w:customStyle="1" w:styleId="HeaderChar">
    <w:name w:val="Header Char"/>
    <w:basedOn w:val="DefaultParagraphFont"/>
    <w:link w:val="Header"/>
    <w:uiPriority w:val="99"/>
    <w:locked/>
    <w:rsid w:val="000C519C"/>
    <w:rPr>
      <w:rFonts w:ascii="Times New Roman" w:hAnsi="Times New Roman" w:cs="Times New Roman"/>
      <w:sz w:val="24"/>
      <w:szCs w:val="24"/>
      <w:lang w:val="en-GB"/>
    </w:rPr>
  </w:style>
  <w:style w:type="paragraph" w:styleId="Footer">
    <w:name w:val="footer"/>
    <w:basedOn w:val="Normal"/>
    <w:link w:val="FooterChar"/>
    <w:uiPriority w:val="99"/>
    <w:rsid w:val="000C519C"/>
    <w:pPr>
      <w:tabs>
        <w:tab w:val="center" w:pos="4536"/>
        <w:tab w:val="right" w:pos="9072"/>
      </w:tabs>
    </w:pPr>
  </w:style>
  <w:style w:type="character" w:customStyle="1" w:styleId="FooterChar">
    <w:name w:val="Footer Char"/>
    <w:basedOn w:val="DefaultParagraphFont"/>
    <w:link w:val="Footer"/>
    <w:uiPriority w:val="99"/>
    <w:locked/>
    <w:rsid w:val="000C519C"/>
    <w:rPr>
      <w:rFonts w:ascii="Times New Roman" w:hAnsi="Times New Roman" w:cs="Times New Roman"/>
      <w:sz w:val="24"/>
      <w:szCs w:val="24"/>
      <w:lang w:val="en-GB"/>
    </w:rPr>
  </w:style>
  <w:style w:type="character" w:styleId="CommentReference">
    <w:name w:val="annotation reference"/>
    <w:basedOn w:val="DefaultParagraphFont"/>
    <w:uiPriority w:val="99"/>
    <w:semiHidden/>
    <w:rsid w:val="00CE2B11"/>
    <w:rPr>
      <w:sz w:val="16"/>
      <w:szCs w:val="16"/>
    </w:rPr>
  </w:style>
  <w:style w:type="paragraph" w:styleId="CommentText">
    <w:name w:val="annotation text"/>
    <w:basedOn w:val="Normal"/>
    <w:link w:val="CommentTextChar"/>
    <w:uiPriority w:val="99"/>
    <w:semiHidden/>
    <w:rsid w:val="00CE2B11"/>
    <w:pPr>
      <w:spacing w:after="160"/>
    </w:pPr>
    <w:rPr>
      <w:rFonts w:ascii="Calibri" w:eastAsia="Calibri" w:hAnsi="Calibri" w:cs="Calibri"/>
      <w:sz w:val="20"/>
      <w:szCs w:val="20"/>
      <w:lang w:val="bg-BG"/>
    </w:rPr>
  </w:style>
  <w:style w:type="character" w:customStyle="1" w:styleId="CommentTextChar">
    <w:name w:val="Comment Text Char"/>
    <w:basedOn w:val="DefaultParagraphFont"/>
    <w:link w:val="CommentText"/>
    <w:uiPriority w:val="99"/>
    <w:semiHidden/>
    <w:locked/>
    <w:rsid w:val="00CE2B11"/>
    <w:rPr>
      <w:sz w:val="20"/>
      <w:szCs w:val="20"/>
    </w:rPr>
  </w:style>
  <w:style w:type="paragraph" w:styleId="BalloonText">
    <w:name w:val="Balloon Text"/>
    <w:basedOn w:val="Normal"/>
    <w:link w:val="BalloonTextChar"/>
    <w:uiPriority w:val="99"/>
    <w:semiHidden/>
    <w:rsid w:val="00CE2B1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E2B11"/>
    <w:rPr>
      <w:rFonts w:ascii="Segoe UI" w:hAnsi="Segoe UI" w:cs="Segoe UI"/>
      <w:sz w:val="18"/>
      <w:szCs w:val="18"/>
      <w:lang w:val="en-GB"/>
    </w:rPr>
  </w:style>
  <w:style w:type="character" w:customStyle="1" w:styleId="Heading3Char">
    <w:name w:val="Heading 3 Char"/>
    <w:basedOn w:val="DefaultParagraphFont"/>
    <w:link w:val="Heading3"/>
    <w:semiHidden/>
    <w:rsid w:val="002349B4"/>
    <w:rPr>
      <w:rFonts w:asciiTheme="majorHAnsi" w:eastAsiaTheme="majorEastAsia" w:hAnsiTheme="majorHAnsi" w:cstheme="majorBidi"/>
      <w:color w:val="243F60" w:themeColor="accent1" w:themeShade="7F"/>
      <w:sz w:val="24"/>
      <w:szCs w:val="24"/>
      <w:lang w:val="en-GB" w:eastAsia="en-US"/>
    </w:rPr>
  </w:style>
  <w:style w:type="paragraph" w:styleId="CommentSubject">
    <w:name w:val="annotation subject"/>
    <w:basedOn w:val="CommentText"/>
    <w:next w:val="CommentText"/>
    <w:link w:val="CommentSubjectChar"/>
    <w:uiPriority w:val="99"/>
    <w:semiHidden/>
    <w:unhideWhenUsed/>
    <w:rsid w:val="0008721E"/>
    <w:pPr>
      <w:spacing w:after="0"/>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uiPriority w:val="99"/>
    <w:semiHidden/>
    <w:rsid w:val="0008721E"/>
    <w:rPr>
      <w:rFonts w:ascii="Times New Roman" w:eastAsia="Times New Roman" w:hAnsi="Times New Roman"/>
      <w:b/>
      <w:bCs/>
      <w:sz w:val="20"/>
      <w:szCs w:val="20"/>
      <w:lang w:val="en-GB" w:eastAsia="en-US"/>
    </w:rPr>
  </w:style>
  <w:style w:type="paragraph" w:styleId="Revision">
    <w:name w:val="Revision"/>
    <w:hidden/>
    <w:uiPriority w:val="99"/>
    <w:semiHidden/>
    <w:rsid w:val="00BE09D1"/>
    <w:rPr>
      <w:rFonts w:ascii="Times New Roman" w:eastAsia="Times New Roman" w:hAnsi="Times New Roman"/>
      <w:sz w:val="24"/>
      <w:szCs w:val="24"/>
      <w:lang w:val="en-GB" w:eastAsia="en-US"/>
    </w:rPr>
  </w:style>
  <w:style w:type="paragraph" w:styleId="Caption">
    <w:name w:val="caption"/>
    <w:basedOn w:val="Normal"/>
    <w:next w:val="Normal"/>
    <w:semiHidden/>
    <w:unhideWhenUsed/>
    <w:qFormat/>
    <w:locked/>
    <w:rsid w:val="001D443B"/>
    <w:pPr>
      <w:spacing w:after="200"/>
    </w:pPr>
    <w:rPr>
      <w:b/>
      <w:bCs/>
      <w:color w:val="4F81BD" w:themeColor="accent1"/>
      <w:sz w:val="18"/>
      <w:szCs w:val="18"/>
    </w:rPr>
  </w:style>
  <w:style w:type="paragraph" w:styleId="FootnoteText">
    <w:name w:val="footnote text"/>
    <w:basedOn w:val="Normal"/>
    <w:link w:val="FootnoteTextChar"/>
    <w:uiPriority w:val="99"/>
    <w:semiHidden/>
    <w:unhideWhenUsed/>
    <w:rsid w:val="00154D0C"/>
    <w:rPr>
      <w:sz w:val="20"/>
      <w:szCs w:val="20"/>
    </w:rPr>
  </w:style>
  <w:style w:type="character" w:customStyle="1" w:styleId="FootnoteTextChar">
    <w:name w:val="Footnote Text Char"/>
    <w:basedOn w:val="DefaultParagraphFont"/>
    <w:link w:val="FootnoteText"/>
    <w:uiPriority w:val="99"/>
    <w:semiHidden/>
    <w:rsid w:val="00154D0C"/>
    <w:rPr>
      <w:rFonts w:ascii="Times New Roman" w:eastAsia="Times New Roman" w:hAnsi="Times New Roman"/>
      <w:sz w:val="20"/>
      <w:szCs w:val="20"/>
      <w:lang w:val="en-GB" w:eastAsia="en-US"/>
    </w:rPr>
  </w:style>
  <w:style w:type="character" w:styleId="FootnoteReference">
    <w:name w:val="footnote reference"/>
    <w:uiPriority w:val="99"/>
    <w:semiHidden/>
    <w:unhideWhenUsed/>
    <w:rsid w:val="00154D0C"/>
    <w:rPr>
      <w:vertAlign w:val="superscript"/>
    </w:rPr>
  </w:style>
  <w:style w:type="character" w:styleId="Hyperlink">
    <w:name w:val="Hyperlink"/>
    <w:basedOn w:val="DefaultParagraphFont"/>
    <w:rsid w:val="007B04A8"/>
    <w:rPr>
      <w:color w:val="0066CC"/>
      <w:u w:val="single"/>
    </w:rPr>
  </w:style>
  <w:style w:type="paragraph" w:styleId="NormalWeb">
    <w:name w:val="Normal (Web)"/>
    <w:basedOn w:val="Normal"/>
    <w:uiPriority w:val="99"/>
    <w:semiHidden/>
    <w:unhideWhenUsed/>
    <w:rsid w:val="009D576C"/>
    <w:pPr>
      <w:spacing w:before="100" w:beforeAutospacing="1" w:after="100" w:afterAutospacing="1"/>
    </w:pPr>
    <w:rPr>
      <w:rFonts w:eastAsiaTheme="minorHAnsi"/>
      <w:lang w:val="bg-BG" w:eastAsia="bg-BG"/>
    </w:rPr>
  </w:style>
  <w:style w:type="character" w:styleId="Strong">
    <w:name w:val="Strong"/>
    <w:basedOn w:val="DefaultParagraphFont"/>
    <w:uiPriority w:val="22"/>
    <w:qFormat/>
    <w:locked/>
    <w:rsid w:val="009D576C"/>
    <w:rPr>
      <w:b/>
      <w:bCs/>
    </w:rPr>
  </w:style>
  <w:style w:type="character" w:customStyle="1" w:styleId="2">
    <w:name w:val="Заглавие #2_"/>
    <w:basedOn w:val="DefaultParagraphFont"/>
    <w:link w:val="20"/>
    <w:rsid w:val="006808EB"/>
    <w:rPr>
      <w:rFonts w:ascii="Times New Roman" w:eastAsia="Times New Roman" w:hAnsi="Times New Roman"/>
      <w:b/>
      <w:bCs/>
      <w:shd w:val="clear" w:color="auto" w:fill="FFFFFF"/>
    </w:rPr>
  </w:style>
  <w:style w:type="paragraph" w:customStyle="1" w:styleId="20">
    <w:name w:val="Заглавие #2"/>
    <w:basedOn w:val="Normal"/>
    <w:link w:val="2"/>
    <w:rsid w:val="006808EB"/>
    <w:pPr>
      <w:widowControl w:val="0"/>
      <w:shd w:val="clear" w:color="auto" w:fill="FFFFFF"/>
      <w:spacing w:after="280" w:line="283" w:lineRule="auto"/>
      <w:ind w:firstLine="400"/>
      <w:outlineLvl w:val="1"/>
    </w:pPr>
    <w:rPr>
      <w:b/>
      <w:bCs/>
      <w:sz w:val="22"/>
      <w:szCs w:val="22"/>
      <w:lang w:val="bg-BG" w:eastAsia="bg-BG"/>
    </w:rPr>
  </w:style>
  <w:style w:type="character" w:customStyle="1" w:styleId="a">
    <w:name w:val="Основен текст_"/>
    <w:basedOn w:val="DefaultParagraphFont"/>
    <w:link w:val="a0"/>
    <w:rsid w:val="006808EB"/>
    <w:rPr>
      <w:rFonts w:ascii="Times New Roman" w:eastAsia="Times New Roman" w:hAnsi="Times New Roman"/>
      <w:shd w:val="clear" w:color="auto" w:fill="FFFFFF"/>
    </w:rPr>
  </w:style>
  <w:style w:type="paragraph" w:customStyle="1" w:styleId="a0">
    <w:name w:val="Основен текст"/>
    <w:basedOn w:val="Normal"/>
    <w:link w:val="a"/>
    <w:rsid w:val="006808EB"/>
    <w:pPr>
      <w:widowControl w:val="0"/>
      <w:shd w:val="clear" w:color="auto" w:fill="FFFFFF"/>
      <w:spacing w:line="302" w:lineRule="auto"/>
      <w:ind w:firstLine="400"/>
      <w:jc w:val="both"/>
    </w:pPr>
    <w:rPr>
      <w:sz w:val="22"/>
      <w:szCs w:val="22"/>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5448">
      <w:bodyDiv w:val="1"/>
      <w:marLeft w:val="0"/>
      <w:marRight w:val="0"/>
      <w:marTop w:val="0"/>
      <w:marBottom w:val="0"/>
      <w:divBdr>
        <w:top w:val="none" w:sz="0" w:space="0" w:color="auto"/>
        <w:left w:val="none" w:sz="0" w:space="0" w:color="auto"/>
        <w:bottom w:val="none" w:sz="0" w:space="0" w:color="auto"/>
        <w:right w:val="none" w:sz="0" w:space="0" w:color="auto"/>
      </w:divBdr>
    </w:div>
    <w:div w:id="129131820">
      <w:bodyDiv w:val="1"/>
      <w:marLeft w:val="0"/>
      <w:marRight w:val="0"/>
      <w:marTop w:val="0"/>
      <w:marBottom w:val="0"/>
      <w:divBdr>
        <w:top w:val="none" w:sz="0" w:space="0" w:color="auto"/>
        <w:left w:val="none" w:sz="0" w:space="0" w:color="auto"/>
        <w:bottom w:val="none" w:sz="0" w:space="0" w:color="auto"/>
        <w:right w:val="none" w:sz="0" w:space="0" w:color="auto"/>
      </w:divBdr>
    </w:div>
    <w:div w:id="136411675">
      <w:bodyDiv w:val="1"/>
      <w:marLeft w:val="0"/>
      <w:marRight w:val="0"/>
      <w:marTop w:val="0"/>
      <w:marBottom w:val="0"/>
      <w:divBdr>
        <w:top w:val="none" w:sz="0" w:space="0" w:color="auto"/>
        <w:left w:val="none" w:sz="0" w:space="0" w:color="auto"/>
        <w:bottom w:val="none" w:sz="0" w:space="0" w:color="auto"/>
        <w:right w:val="none" w:sz="0" w:space="0" w:color="auto"/>
      </w:divBdr>
      <w:divsChild>
        <w:div w:id="177683101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19529667">
      <w:bodyDiv w:val="1"/>
      <w:marLeft w:val="0"/>
      <w:marRight w:val="0"/>
      <w:marTop w:val="0"/>
      <w:marBottom w:val="0"/>
      <w:divBdr>
        <w:top w:val="none" w:sz="0" w:space="0" w:color="auto"/>
        <w:left w:val="none" w:sz="0" w:space="0" w:color="auto"/>
        <w:bottom w:val="none" w:sz="0" w:space="0" w:color="auto"/>
        <w:right w:val="none" w:sz="0" w:space="0" w:color="auto"/>
      </w:divBdr>
    </w:div>
    <w:div w:id="938215638">
      <w:bodyDiv w:val="1"/>
      <w:marLeft w:val="0"/>
      <w:marRight w:val="0"/>
      <w:marTop w:val="0"/>
      <w:marBottom w:val="0"/>
      <w:divBdr>
        <w:top w:val="none" w:sz="0" w:space="0" w:color="auto"/>
        <w:left w:val="none" w:sz="0" w:space="0" w:color="auto"/>
        <w:bottom w:val="none" w:sz="0" w:space="0" w:color="auto"/>
        <w:right w:val="none" w:sz="0" w:space="0" w:color="auto"/>
      </w:divBdr>
    </w:div>
    <w:div w:id="1112243788">
      <w:bodyDiv w:val="1"/>
      <w:marLeft w:val="0"/>
      <w:marRight w:val="0"/>
      <w:marTop w:val="0"/>
      <w:marBottom w:val="0"/>
      <w:divBdr>
        <w:top w:val="none" w:sz="0" w:space="0" w:color="auto"/>
        <w:left w:val="none" w:sz="0" w:space="0" w:color="auto"/>
        <w:bottom w:val="none" w:sz="0" w:space="0" w:color="auto"/>
        <w:right w:val="none" w:sz="0" w:space="0" w:color="auto"/>
      </w:divBdr>
    </w:div>
    <w:div w:id="1649744420">
      <w:bodyDiv w:val="1"/>
      <w:marLeft w:val="0"/>
      <w:marRight w:val="0"/>
      <w:marTop w:val="0"/>
      <w:marBottom w:val="0"/>
      <w:divBdr>
        <w:top w:val="none" w:sz="0" w:space="0" w:color="auto"/>
        <w:left w:val="none" w:sz="0" w:space="0" w:color="auto"/>
        <w:bottom w:val="none" w:sz="0" w:space="0" w:color="auto"/>
        <w:right w:val="none" w:sz="0" w:space="0" w:color="auto"/>
      </w:divBdr>
    </w:div>
    <w:div w:id="1704937884">
      <w:marLeft w:val="0"/>
      <w:marRight w:val="0"/>
      <w:marTop w:val="0"/>
      <w:marBottom w:val="0"/>
      <w:divBdr>
        <w:top w:val="none" w:sz="0" w:space="0" w:color="auto"/>
        <w:left w:val="none" w:sz="0" w:space="0" w:color="auto"/>
        <w:bottom w:val="none" w:sz="0" w:space="0" w:color="auto"/>
        <w:right w:val="none" w:sz="0" w:space="0" w:color="auto"/>
      </w:divBdr>
    </w:div>
    <w:div w:id="1704937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5F4E8-5F12-4E2E-B985-ED074D296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ТАБЛИЦА</vt:lpstr>
    </vt:vector>
  </TitlesOfParts>
  <Company>MTITC</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ТАБЛИЦА</dc:title>
  <dc:creator>Petya Chakarova</dc:creator>
  <cp:lastModifiedBy>Lachezar Vasilev</cp:lastModifiedBy>
  <cp:revision>2</cp:revision>
  <cp:lastPrinted>2015-04-16T13:56:00Z</cp:lastPrinted>
  <dcterms:created xsi:type="dcterms:W3CDTF">2019-06-19T06:33:00Z</dcterms:created>
  <dcterms:modified xsi:type="dcterms:W3CDTF">2019-06-19T06:33:00Z</dcterms:modified>
</cp:coreProperties>
</file>