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E9" w:rsidRDefault="006F21E9" w:rsidP="003078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D9" w:rsidRPr="00820F74" w:rsidRDefault="003078D9" w:rsidP="00307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F74">
        <w:rPr>
          <w:rFonts w:ascii="Times New Roman" w:hAnsi="Times New Roman" w:cs="Times New Roman"/>
          <w:b/>
          <w:sz w:val="24"/>
          <w:szCs w:val="24"/>
        </w:rPr>
        <w:t>Таблица за съответствие с правото на Европейския съюз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5245"/>
        <w:gridCol w:w="2800"/>
      </w:tblGrid>
      <w:tr w:rsidR="00820F74" w:rsidRPr="00820F74" w:rsidTr="00820F74">
        <w:tc>
          <w:tcPr>
            <w:tcW w:w="5949" w:type="dxa"/>
            <w:vAlign w:val="center"/>
          </w:tcPr>
          <w:p w:rsidR="006F21E9" w:rsidRPr="00820F74" w:rsidRDefault="00AF162C" w:rsidP="00561CA1">
            <w:pPr>
              <w:shd w:val="clear" w:color="auto" w:fill="FFFFFF"/>
              <w:spacing w:before="240" w:after="120"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Делегирана директива (ЕС) 2021/1206 на Комисията</w:t>
            </w:r>
            <w:r w:rsidRPr="008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Pr="008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30 април 2021 г</w:t>
            </w:r>
            <w:r w:rsidRPr="008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. </w:t>
            </w:r>
            <w:r w:rsidRPr="008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изменение на приложение III към Директива 2014/90/ЕС на Европейския парламент и на Съвета относно морското оборудване по отношение на приложимия стандарт за лабораториите, използвани от органите за оценяване на съответствието на морско оборудване</w:t>
            </w:r>
            <w:r w:rsidR="0056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561CA1" w:rsidRPr="00561CA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(ОВ, L 261 от 22.07.2021 г.)</w:t>
            </w:r>
            <w:r w:rsidR="00561CA1" w:rsidRPr="00820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820F74" w:rsidRPr="00820F74" w:rsidRDefault="00820F74" w:rsidP="00820F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820F74" w:rsidRPr="00820F74" w:rsidRDefault="00820F74" w:rsidP="00CE4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Проект на Наредба за изменение и допълнение на Наредба № 54 от 29</w:t>
            </w:r>
            <w:r w:rsidR="00CE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.12.</w:t>
            </w:r>
            <w:r w:rsidRPr="00820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2016 г. за техническите изисквания и оценяване съответствието на оборудването на морските кораби </w:t>
            </w:r>
          </w:p>
        </w:tc>
        <w:tc>
          <w:tcPr>
            <w:tcW w:w="2800" w:type="dxa"/>
            <w:vAlign w:val="center"/>
          </w:tcPr>
          <w:p w:rsidR="003078D9" w:rsidRPr="00820F74" w:rsidRDefault="003078D9" w:rsidP="00C1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74">
              <w:rPr>
                <w:rFonts w:ascii="Times New Roman" w:hAnsi="Times New Roman" w:cs="Times New Roman"/>
                <w:b/>
                <w:sz w:val="24"/>
                <w:szCs w:val="24"/>
              </w:rPr>
              <w:t>Степен на съответствие</w:t>
            </w:r>
          </w:p>
        </w:tc>
      </w:tr>
      <w:tr w:rsidR="00820F74" w:rsidRPr="00820F74" w:rsidTr="00820F74">
        <w:tc>
          <w:tcPr>
            <w:tcW w:w="5949" w:type="dxa"/>
            <w:vAlign w:val="center"/>
          </w:tcPr>
          <w:p w:rsidR="00AF162C" w:rsidRPr="00820F74" w:rsidRDefault="00AF162C" w:rsidP="00820F74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20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Член 1</w:t>
            </w:r>
          </w:p>
          <w:p w:rsidR="00AF162C" w:rsidRPr="00820F74" w:rsidRDefault="00AF162C" w:rsidP="00820F74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точка 19 от приложение III към Директива 2014/90/ЕС позоваването на стандарт „EN ISO/IEC 17025:2005“ се заменя с позоваване на стандарт „EN ISO/IEC 17025:2017“.</w:t>
            </w:r>
          </w:p>
          <w:p w:rsidR="000B6233" w:rsidRPr="00820F74" w:rsidRDefault="000B6233" w:rsidP="0082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F21E9" w:rsidRPr="006F21E9" w:rsidRDefault="006F21E9" w:rsidP="006F21E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9">
              <w:rPr>
                <w:rFonts w:ascii="Times New Roman" w:hAnsi="Times New Roman" w:cs="Times New Roman"/>
                <w:b/>
                <w:sz w:val="24"/>
                <w:szCs w:val="24"/>
              </w:rPr>
              <w:t>§ 1.</w:t>
            </w:r>
            <w:r w:rsidRPr="006F21E9">
              <w:rPr>
                <w:rFonts w:ascii="Times New Roman" w:hAnsi="Times New Roman" w:cs="Times New Roman"/>
                <w:sz w:val="24"/>
                <w:szCs w:val="24"/>
              </w:rPr>
              <w:t xml:space="preserve"> В чл. 31, т.</w:t>
            </w:r>
            <w:r w:rsidR="009A2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1E9">
              <w:rPr>
                <w:rFonts w:ascii="Times New Roman" w:hAnsi="Times New Roman" w:cs="Times New Roman"/>
                <w:sz w:val="24"/>
                <w:szCs w:val="24"/>
              </w:rPr>
              <w:t>17 думите „EN ISO/IEC 17025:2005“ се заменят с „EN ISO/IEC 17025:2017“.</w:t>
            </w:r>
          </w:p>
          <w:p w:rsidR="000B6233" w:rsidRPr="00820F74" w:rsidRDefault="000B6233" w:rsidP="00C10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0B6233" w:rsidRPr="006F21E9" w:rsidRDefault="006F21E9" w:rsidP="00C1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E9">
              <w:rPr>
                <w:rFonts w:ascii="Times New Roman" w:hAnsi="Times New Roman" w:cs="Times New Roman"/>
                <w:b/>
                <w:sz w:val="24"/>
                <w:szCs w:val="24"/>
              </w:rPr>
              <w:t>Пълно</w:t>
            </w:r>
          </w:p>
        </w:tc>
      </w:tr>
      <w:tr w:rsidR="00820F74" w:rsidRPr="00820F74" w:rsidTr="00820F74">
        <w:tc>
          <w:tcPr>
            <w:tcW w:w="5949" w:type="dxa"/>
            <w:vAlign w:val="center"/>
          </w:tcPr>
          <w:p w:rsidR="00AF162C" w:rsidRPr="00820F74" w:rsidRDefault="00AF162C" w:rsidP="00820F74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20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Член 2</w:t>
            </w:r>
          </w:p>
          <w:p w:rsidR="00AF162C" w:rsidRPr="00820F74" w:rsidRDefault="00AF162C" w:rsidP="00820F74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   Държавите членки въвеждат в сила законовите, подзаконовите и административните разпоредби, необходими за постигане на съответствие с настоящата директива, не по-късно на 31 януари 2022 година. Те незабавно съобщават на Комисията текста на тези разпоредби.</w:t>
            </w:r>
          </w:p>
          <w:p w:rsidR="00AF162C" w:rsidRPr="00820F74" w:rsidRDefault="00AF162C" w:rsidP="00820F74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Когато държавите членки приемат тези разпоредби, в тях се съдържа позоваване на настоящата директива или то се извършва при официалното им публикуване. </w:t>
            </w: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Условията и редът на позоваване се определят от държавите членки.</w:t>
            </w:r>
          </w:p>
          <w:p w:rsidR="00AF162C" w:rsidRPr="00820F74" w:rsidRDefault="00AF162C" w:rsidP="00820F74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   Държавите членки съобщават на Комисията текста на основните разпоредби от националното законодателство, които те приемат в областта, уредена с настоящата директива.</w:t>
            </w:r>
          </w:p>
          <w:p w:rsidR="000B6233" w:rsidRPr="00820F74" w:rsidRDefault="000B6233" w:rsidP="0082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F21E9" w:rsidRDefault="006F21E9" w:rsidP="006F21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1E9" w:rsidRDefault="006F21E9" w:rsidP="006F21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1E9" w:rsidRDefault="006F21E9" w:rsidP="006F21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1E9" w:rsidRDefault="006F21E9" w:rsidP="006F21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1E9" w:rsidRDefault="006F21E9" w:rsidP="006F21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1E9" w:rsidRPr="006F21E9" w:rsidRDefault="006F21E9" w:rsidP="006F21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 2.</w:t>
            </w:r>
            <w:r w:rsidRPr="006F2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Допълнителните разпоредби се създава § </w:t>
            </w:r>
            <w:r w:rsidRPr="006F2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6F21E9">
              <w:rPr>
                <w:rFonts w:ascii="Times New Roman" w:hAnsi="Times New Roman" w:cs="Times New Roman"/>
                <w:bCs/>
                <w:sz w:val="24"/>
                <w:szCs w:val="24"/>
              </w:rPr>
              <w:t>а:</w:t>
            </w:r>
          </w:p>
          <w:p w:rsidR="006F21E9" w:rsidRPr="006F21E9" w:rsidRDefault="006F21E9" w:rsidP="006F21E9">
            <w:pPr>
              <w:pStyle w:val="ListParagraph"/>
              <w:tabs>
                <w:tab w:val="left" w:pos="993"/>
              </w:tabs>
              <w:ind w:left="90" w:firstLine="990"/>
              <w:contextualSpacing w:val="0"/>
              <w:jc w:val="both"/>
            </w:pPr>
            <w:r w:rsidRPr="006F21E9">
              <w:rPr>
                <w:bCs/>
              </w:rPr>
              <w:t>„§ </w:t>
            </w:r>
            <w:r w:rsidRPr="006F21E9">
              <w:rPr>
                <w:bCs/>
                <w:lang w:val="en-US"/>
              </w:rPr>
              <w:t>2</w:t>
            </w:r>
            <w:r w:rsidRPr="006F21E9">
              <w:rPr>
                <w:bCs/>
              </w:rPr>
              <w:t xml:space="preserve">а </w:t>
            </w:r>
            <w:r w:rsidRPr="006F21E9">
              <w:rPr>
                <w:bCs/>
                <w:lang w:val="en-US"/>
              </w:rPr>
              <w:t xml:space="preserve">С </w:t>
            </w:r>
            <w:proofErr w:type="spellStart"/>
            <w:r w:rsidRPr="006F21E9">
              <w:rPr>
                <w:bCs/>
                <w:lang w:val="en-US"/>
              </w:rPr>
              <w:t>тази</w:t>
            </w:r>
            <w:proofErr w:type="spellEnd"/>
            <w:r w:rsidRPr="006F21E9">
              <w:rPr>
                <w:bCs/>
                <w:lang w:val="en-US"/>
              </w:rPr>
              <w:t xml:space="preserve"> </w:t>
            </w:r>
            <w:proofErr w:type="spellStart"/>
            <w:r w:rsidRPr="006F21E9">
              <w:rPr>
                <w:bCs/>
                <w:lang w:val="en-US"/>
              </w:rPr>
              <w:t>наредба</w:t>
            </w:r>
            <w:proofErr w:type="spellEnd"/>
            <w:r w:rsidRPr="006F21E9">
              <w:rPr>
                <w:bCs/>
                <w:lang w:val="en-US"/>
              </w:rPr>
              <w:t xml:space="preserve"> </w:t>
            </w:r>
            <w:proofErr w:type="spellStart"/>
            <w:r w:rsidRPr="006F21E9">
              <w:rPr>
                <w:bCs/>
                <w:lang w:val="en-US"/>
              </w:rPr>
              <w:t>се</w:t>
            </w:r>
            <w:proofErr w:type="spellEnd"/>
            <w:r w:rsidRPr="006F21E9">
              <w:rPr>
                <w:bCs/>
                <w:lang w:val="en-US"/>
              </w:rPr>
              <w:t xml:space="preserve"> </w:t>
            </w:r>
            <w:proofErr w:type="spellStart"/>
            <w:r w:rsidRPr="006F21E9">
              <w:rPr>
                <w:bCs/>
                <w:lang w:val="en-US"/>
              </w:rPr>
              <w:t>въвеждат</w:t>
            </w:r>
            <w:proofErr w:type="spellEnd"/>
            <w:r w:rsidRPr="006F21E9">
              <w:rPr>
                <w:bCs/>
                <w:lang w:val="en-US"/>
              </w:rPr>
              <w:t xml:space="preserve"> </w:t>
            </w:r>
            <w:proofErr w:type="spellStart"/>
            <w:r w:rsidRPr="006F21E9">
              <w:rPr>
                <w:bCs/>
                <w:lang w:val="en-US"/>
              </w:rPr>
              <w:t>изискванията</w:t>
            </w:r>
            <w:proofErr w:type="spellEnd"/>
            <w:r w:rsidRPr="006F21E9">
              <w:rPr>
                <w:bCs/>
                <w:lang w:val="en-US"/>
              </w:rPr>
              <w:t xml:space="preserve"> </w:t>
            </w:r>
            <w:proofErr w:type="spellStart"/>
            <w:r w:rsidRPr="006F21E9">
              <w:rPr>
                <w:bCs/>
                <w:lang w:val="en-US"/>
              </w:rPr>
              <w:t>на</w:t>
            </w:r>
            <w:proofErr w:type="spellEnd"/>
            <w:r w:rsidRPr="006F21E9">
              <w:rPr>
                <w:bCs/>
                <w:lang w:val="en-US"/>
              </w:rPr>
              <w:t xml:space="preserve"> </w:t>
            </w:r>
            <w:r w:rsidRPr="006F21E9">
              <w:rPr>
                <w:bCs/>
              </w:rPr>
              <w:t xml:space="preserve">Делегирана директива (ЕС) 2021/1206 на Комисията от 30 април 2021 г. за изменение на приложение III към Директива 2014/90/ЕС на Европейския парламент и на </w:t>
            </w:r>
            <w:r w:rsidRPr="006F21E9">
              <w:rPr>
                <w:bCs/>
              </w:rPr>
              <w:lastRenderedPageBreak/>
              <w:t>Съвета относно морското оборудване по отношение на приложимия стандарт за лабораториите, използвани от органите за оценяване на съответствието на морско оборудване (ОВ, </w:t>
            </w:r>
            <w:r w:rsidRPr="006F21E9">
              <w:rPr>
                <w:bCs/>
                <w:lang w:val="en-US"/>
              </w:rPr>
              <w:t>L</w:t>
            </w:r>
            <w:r w:rsidRPr="006F21E9">
              <w:rPr>
                <w:bCs/>
              </w:rPr>
              <w:t> 261 от 22.07.2021 г.).”</w:t>
            </w:r>
          </w:p>
          <w:p w:rsidR="000B6233" w:rsidRPr="00820F74" w:rsidRDefault="000B6233" w:rsidP="00C10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0B6233" w:rsidRPr="006F21E9" w:rsidRDefault="006F21E9" w:rsidP="00C1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Пълно</w:t>
            </w:r>
          </w:p>
        </w:tc>
      </w:tr>
      <w:tr w:rsidR="00820F74" w:rsidRPr="00820F74" w:rsidTr="00820F74">
        <w:tc>
          <w:tcPr>
            <w:tcW w:w="5949" w:type="dxa"/>
            <w:vAlign w:val="center"/>
          </w:tcPr>
          <w:p w:rsidR="00AF162C" w:rsidRPr="00820F74" w:rsidRDefault="00AF162C" w:rsidP="00820F74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20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Член 3</w:t>
            </w:r>
          </w:p>
          <w:p w:rsidR="00AF162C" w:rsidRPr="00820F74" w:rsidRDefault="00AF162C" w:rsidP="00820F74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Настоящата директива влиза в сила на двадесетия ден след деня на публикуването ѝ в </w:t>
            </w:r>
            <w:r w:rsidRPr="00820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Официален вестник на Европейския съюз.</w:t>
            </w:r>
          </w:p>
          <w:p w:rsidR="000B6233" w:rsidRPr="00820F74" w:rsidRDefault="000B6233" w:rsidP="0082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0B6233" w:rsidRPr="00820F74" w:rsidRDefault="000B6233" w:rsidP="00C10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0B6233" w:rsidRPr="006F21E9" w:rsidRDefault="001105BF" w:rsidP="00C1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E9">
              <w:rPr>
                <w:rFonts w:ascii="Times New Roman" w:hAnsi="Times New Roman" w:cs="Times New Roman"/>
                <w:b/>
                <w:sz w:val="24"/>
                <w:szCs w:val="24"/>
              </w:rPr>
              <w:t>Не подлежи на въвеждане</w:t>
            </w:r>
          </w:p>
        </w:tc>
      </w:tr>
      <w:tr w:rsidR="00820F74" w:rsidRPr="00820F74" w:rsidTr="00820F74">
        <w:tc>
          <w:tcPr>
            <w:tcW w:w="5949" w:type="dxa"/>
            <w:vAlign w:val="center"/>
          </w:tcPr>
          <w:p w:rsidR="00AF162C" w:rsidRPr="00820F74" w:rsidRDefault="00AF162C" w:rsidP="00820F74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20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Член 4</w:t>
            </w:r>
          </w:p>
          <w:p w:rsidR="00AF162C" w:rsidRPr="00820F74" w:rsidRDefault="00AF162C" w:rsidP="00820F74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Адресати на настоящата директива са държавите членки.</w:t>
            </w:r>
          </w:p>
          <w:p w:rsidR="00AF162C" w:rsidRPr="00820F74" w:rsidRDefault="00AF162C" w:rsidP="00820F74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Съставено в Брюксел на 30 април 2021 година.</w:t>
            </w:r>
          </w:p>
          <w:p w:rsidR="00AF162C" w:rsidRPr="00820F74" w:rsidRDefault="00AF162C" w:rsidP="00820F74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0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Комисията</w:t>
            </w:r>
          </w:p>
          <w:p w:rsidR="00AF162C" w:rsidRPr="00820F74" w:rsidRDefault="00AF162C" w:rsidP="00820F74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0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Председател</w:t>
            </w:r>
          </w:p>
          <w:p w:rsidR="00AF162C" w:rsidRPr="00820F74" w:rsidRDefault="00AF162C" w:rsidP="00820F74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Ursula</w:t>
            </w:r>
            <w:proofErr w:type="spellEnd"/>
            <w:r w:rsidRPr="00820F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VON DER LEYEN</w:t>
            </w:r>
          </w:p>
          <w:p w:rsidR="000B6233" w:rsidRPr="00820F74" w:rsidRDefault="000B6233" w:rsidP="0082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0B6233" w:rsidRPr="00820F74" w:rsidRDefault="000B6233" w:rsidP="00C10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0B6233" w:rsidRPr="006F21E9" w:rsidRDefault="001105BF" w:rsidP="00C1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E9">
              <w:rPr>
                <w:rFonts w:ascii="Times New Roman" w:hAnsi="Times New Roman" w:cs="Times New Roman"/>
                <w:b/>
                <w:sz w:val="24"/>
                <w:szCs w:val="24"/>
              </w:rPr>
              <w:t>Не подлежи на въвеждане</w:t>
            </w:r>
          </w:p>
        </w:tc>
      </w:tr>
    </w:tbl>
    <w:p w:rsidR="0099290B" w:rsidRPr="00820F74" w:rsidRDefault="0099290B">
      <w:pPr>
        <w:rPr>
          <w:sz w:val="24"/>
          <w:szCs w:val="24"/>
        </w:rPr>
      </w:pPr>
      <w:bookmarkStart w:id="0" w:name="_GoBack"/>
      <w:bookmarkEnd w:id="0"/>
    </w:p>
    <w:sectPr w:rsidR="0099290B" w:rsidRPr="00820F74" w:rsidSect="003078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D9"/>
    <w:rsid w:val="000B6233"/>
    <w:rsid w:val="001105BF"/>
    <w:rsid w:val="003078D9"/>
    <w:rsid w:val="004D6FD6"/>
    <w:rsid w:val="00561CA1"/>
    <w:rsid w:val="006F21E9"/>
    <w:rsid w:val="00811BC6"/>
    <w:rsid w:val="00820F74"/>
    <w:rsid w:val="0099290B"/>
    <w:rsid w:val="009A210F"/>
    <w:rsid w:val="00AF162C"/>
    <w:rsid w:val="00C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9C65D-609F-411D-A9B9-D2A945B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doc-ti">
    <w:name w:val="oj-doc-ti"/>
    <w:basedOn w:val="Normal"/>
    <w:rsid w:val="00AF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oj-normal">
    <w:name w:val="oj-normal"/>
    <w:basedOn w:val="Normal"/>
    <w:rsid w:val="00AF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F162C"/>
    <w:rPr>
      <w:color w:val="0000FF"/>
      <w:u w:val="single"/>
    </w:rPr>
  </w:style>
  <w:style w:type="character" w:customStyle="1" w:styleId="oj-super">
    <w:name w:val="oj-super"/>
    <w:basedOn w:val="DefaultParagraphFont"/>
    <w:rsid w:val="00AF162C"/>
  </w:style>
  <w:style w:type="paragraph" w:customStyle="1" w:styleId="oj-ti-art">
    <w:name w:val="oj-ti-art"/>
    <w:basedOn w:val="Normal"/>
    <w:rsid w:val="00AF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oj-italic">
    <w:name w:val="oj-italic"/>
    <w:basedOn w:val="DefaultParagraphFont"/>
    <w:rsid w:val="00AF162C"/>
  </w:style>
  <w:style w:type="paragraph" w:customStyle="1" w:styleId="oj-signatory">
    <w:name w:val="oj-signatory"/>
    <w:basedOn w:val="Normal"/>
    <w:rsid w:val="00AF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6F21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168">
          <w:marLeft w:val="810"/>
          <w:marRight w:val="8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7788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Biser Kirilov Petrov</cp:lastModifiedBy>
  <cp:revision>4</cp:revision>
  <dcterms:created xsi:type="dcterms:W3CDTF">2021-12-21T09:51:00Z</dcterms:created>
  <dcterms:modified xsi:type="dcterms:W3CDTF">2021-12-21T09:55:00Z</dcterms:modified>
</cp:coreProperties>
</file>