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DD" w:rsidRPr="00FC12DD" w:rsidRDefault="00FC12DD" w:rsidP="00FC12DD">
      <w:pPr>
        <w:pStyle w:val="ListParagraph"/>
        <w:numPr>
          <w:ilvl w:val="0"/>
          <w:numId w:val="4"/>
        </w:numPr>
        <w:shd w:val="clear" w:color="auto" w:fill="FFFFFF"/>
        <w:jc w:val="both"/>
        <w:textAlignment w:val="baseline"/>
        <w:rPr>
          <w:rFonts w:ascii="Times New Roman" w:hAnsi="Times New Roman"/>
          <w:b/>
          <w:bCs/>
          <w:szCs w:val="24"/>
          <w:bdr w:val="none" w:sz="0" w:space="0" w:color="auto" w:frame="1"/>
          <w:lang w:val="en-US"/>
        </w:rPr>
      </w:pPr>
      <w:bookmarkStart w:id="0" w:name="_GoBack"/>
      <w:bookmarkEnd w:id="0"/>
      <w:r w:rsidRPr="00FC12DD">
        <w:rPr>
          <w:rFonts w:ascii="Times New Roman" w:hAnsi="Times New Roman"/>
          <w:b/>
          <w:bCs/>
          <w:szCs w:val="24"/>
          <w:bdr w:val="none" w:sz="0" w:space="0" w:color="auto" w:frame="1"/>
        </w:rPr>
        <w:t>CEF-TC-2019-2: Европейски портал за електронно правосъдие (</w:t>
      </w:r>
      <w:proofErr w:type="spellStart"/>
      <w:r w:rsidRPr="00FC12DD">
        <w:rPr>
          <w:rFonts w:ascii="Times New Roman" w:hAnsi="Times New Roman"/>
          <w:b/>
          <w:bCs/>
          <w:szCs w:val="24"/>
          <w:bdr w:val="none" w:sz="0" w:space="0" w:color="auto" w:frame="1"/>
          <w:lang w:val="en-US"/>
        </w:rPr>
        <w:t>eJustice</w:t>
      </w:r>
      <w:proofErr w:type="spellEnd"/>
      <w:r w:rsidRPr="00FC12DD">
        <w:rPr>
          <w:rFonts w:ascii="Times New Roman" w:hAnsi="Times New Roman"/>
          <w:b/>
          <w:bCs/>
          <w:szCs w:val="24"/>
          <w:bdr w:val="none" w:sz="0" w:space="0" w:color="auto" w:frame="1"/>
          <w:lang w:val="en-US"/>
        </w:rPr>
        <w:t>)</w:t>
      </w:r>
    </w:p>
    <w:p w:rsidR="00FC12DD" w:rsidRPr="00B319D9" w:rsidRDefault="00FC12DD" w:rsidP="00FC12DD">
      <w:pPr>
        <w:shd w:val="clear" w:color="auto" w:fill="FFFFFF"/>
        <w:ind w:firstLine="360"/>
        <w:jc w:val="both"/>
        <w:textAlignment w:val="baseline"/>
        <w:rPr>
          <w:rFonts w:ascii="Times New Roman" w:hAnsi="Times New Roman"/>
          <w:bCs/>
          <w:sz w:val="12"/>
          <w:szCs w:val="12"/>
          <w:highlight w:val="yellow"/>
          <w:bdr w:val="none" w:sz="0" w:space="0" w:color="auto" w:frame="1"/>
        </w:rPr>
      </w:pP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От 16 юли 2010 г. е в експлоатация Европейския портал за електронно правосъдие (</w:t>
      </w:r>
      <w:proofErr w:type="spellStart"/>
      <w:r w:rsidRPr="00B319D9">
        <w:rPr>
          <w:rFonts w:ascii="Times New Roman" w:hAnsi="Times New Roman"/>
          <w:bCs/>
          <w:szCs w:val="24"/>
          <w:bdr w:val="none" w:sz="0" w:space="0" w:color="auto" w:frame="1"/>
          <w:lang w:val="en-US"/>
        </w:rPr>
        <w:t>eJustice</w:t>
      </w:r>
      <w:proofErr w:type="spellEnd"/>
      <w:r w:rsidRPr="00B319D9">
        <w:rPr>
          <w:rFonts w:ascii="Times New Roman" w:hAnsi="Times New Roman"/>
          <w:bCs/>
          <w:szCs w:val="24"/>
          <w:bdr w:val="none" w:sz="0" w:space="0" w:color="auto" w:frame="1"/>
          <w:lang w:val="en-US"/>
        </w:rPr>
        <w:t xml:space="preserve">), </w:t>
      </w:r>
      <w:r w:rsidRPr="00B319D9">
        <w:rPr>
          <w:rFonts w:ascii="Times New Roman" w:hAnsi="Times New Roman"/>
          <w:bCs/>
          <w:szCs w:val="24"/>
          <w:bdr w:val="none" w:sz="0" w:space="0" w:color="auto" w:frame="1"/>
        </w:rPr>
        <w:t>който непрекъснато се разширява с ново съдържание и електронни услуги. Успоредно с портала, голям консорциум от държави членки (Австрия, Белгия, Хърватия, Чехия, Естония, Финландия, Франция, Германия, Гърция, Унгария, Ирландия, Италия, Латвия, Литва, Малта, Нидерландия, Норвегия Полша, Португалия, Румъния, Испания и Великобритания) изпълнява широкомащабен пилотен проект</w:t>
      </w:r>
      <w:r>
        <w:rPr>
          <w:rFonts w:ascii="Times New Roman" w:hAnsi="Times New Roman"/>
          <w:bCs/>
          <w:szCs w:val="24"/>
          <w:bdr w:val="none" w:sz="0" w:space="0" w:color="auto" w:frame="1"/>
        </w:rPr>
        <w:t xml:space="preserve">        </w:t>
      </w:r>
      <w:r w:rsidRPr="00B319D9">
        <w:rPr>
          <w:rFonts w:ascii="Times New Roman" w:hAnsi="Times New Roman"/>
          <w:bCs/>
          <w:szCs w:val="24"/>
          <w:bdr w:val="none" w:sz="0" w:space="0" w:color="auto" w:frame="1"/>
        </w:rPr>
        <w:t xml:space="preserve"> е-CODEX за създаване на сигурна система за трансгранична електронна комуникация в рамките на съдебната система (</w:t>
      </w:r>
      <w:hyperlink r:id="rId5" w:history="1">
        <w:r w:rsidRPr="00B319D9">
          <w:rPr>
            <w:rFonts w:ascii="Times New Roman" w:hAnsi="Times New Roman"/>
            <w:bCs/>
            <w:color w:val="0000FF"/>
            <w:szCs w:val="24"/>
            <w:u w:val="single"/>
            <w:bdr w:val="none" w:sz="0" w:space="0" w:color="auto" w:frame="1"/>
            <w:lang w:val="en-US"/>
          </w:rPr>
          <w:t>www.e-codex.eu</w:t>
        </w:r>
      </w:hyperlink>
      <w:r w:rsidRPr="00B319D9">
        <w:rPr>
          <w:rFonts w:ascii="Times New Roman" w:hAnsi="Times New Roman"/>
          <w:bCs/>
          <w:szCs w:val="24"/>
          <w:bdr w:val="none" w:sz="0" w:space="0" w:color="auto" w:frame="1"/>
          <w:lang w:val="en-US"/>
        </w:rPr>
        <w:t>)</w:t>
      </w:r>
      <w:r w:rsidRPr="00B319D9">
        <w:rPr>
          <w:rFonts w:ascii="Times New Roman" w:hAnsi="Times New Roman"/>
          <w:bCs/>
          <w:szCs w:val="24"/>
          <w:bdr w:val="none" w:sz="0" w:space="0" w:color="auto" w:frame="1"/>
        </w:rPr>
        <w:t xml:space="preserve">. </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Финансирането през 2018 г.</w:t>
      </w:r>
      <w:r w:rsidRPr="00B319D9">
        <w:rPr>
          <w:rFonts w:ascii="Times New Roman" w:hAnsi="Times New Roman"/>
          <w:szCs w:val="24"/>
        </w:rPr>
        <w:t xml:space="preserve"> позволи да продължи </w:t>
      </w:r>
      <w:r w:rsidRPr="00B319D9">
        <w:rPr>
          <w:rFonts w:ascii="Times New Roman" w:hAnsi="Times New Roman"/>
          <w:bCs/>
          <w:szCs w:val="24"/>
          <w:bdr w:val="none" w:sz="0" w:space="0" w:color="auto" w:frame="1"/>
        </w:rPr>
        <w:t>поддържането и развитието на основната платформа e-CODEX от консорциум от публични администрации на държавите членки.</w:t>
      </w:r>
    </w:p>
    <w:p w:rsidR="00FC12DD" w:rsidRPr="00B319D9" w:rsidRDefault="00FC12DD" w:rsidP="00FC12DD">
      <w:pPr>
        <w:shd w:val="clear" w:color="auto" w:fill="FFFFFF"/>
        <w:ind w:firstLine="357"/>
        <w:jc w:val="both"/>
        <w:textAlignment w:val="baseline"/>
        <w:rPr>
          <w:rFonts w:ascii="Times New Roman" w:hAnsi="Times New Roman"/>
          <w:bCs/>
          <w:szCs w:val="24"/>
          <w:highlight w:val="yellow"/>
          <w:bdr w:val="none" w:sz="0" w:space="0" w:color="auto" w:frame="1"/>
        </w:rPr>
      </w:pPr>
      <w:r w:rsidRPr="00B319D9">
        <w:rPr>
          <w:rFonts w:ascii="Times New Roman" w:hAnsi="Times New Roman"/>
          <w:bCs/>
          <w:szCs w:val="24"/>
          <w:bdr w:val="none" w:sz="0" w:space="0" w:color="auto" w:frame="1"/>
        </w:rPr>
        <w:t>Финансирането на основните услуги по Механизма за свързване на Европа през 2016, 2017 и 2018 г. позволи да голям брой държави членки да се присъединят към съществуващите модули на основната платформа e-CODEX.</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 xml:space="preserve">Основната цел на „Европейски портал за електронно правосъдие“ през 2019 е да продължи да се насърчава взаимното свързване на общите услуги в държавите членки на ЕС, което ще позволи на модулите на портала за електронно правосъдие да имат по-голяма аудитория </w:t>
      </w:r>
      <w:r>
        <w:rPr>
          <w:rFonts w:ascii="Times New Roman" w:hAnsi="Times New Roman"/>
          <w:bCs/>
          <w:szCs w:val="24"/>
          <w:bdr w:val="none" w:sz="0" w:space="0" w:color="auto" w:frame="1"/>
        </w:rPr>
        <w:t xml:space="preserve">и посещаемост </w:t>
      </w:r>
      <w:r w:rsidRPr="00B319D9">
        <w:rPr>
          <w:rFonts w:ascii="Times New Roman" w:hAnsi="Times New Roman"/>
          <w:bCs/>
          <w:szCs w:val="24"/>
          <w:bdr w:val="none" w:sz="0" w:space="0" w:color="auto" w:frame="1"/>
        </w:rPr>
        <w:t>и по този начин по-добре да изпълняват своята обществена функция.</w:t>
      </w:r>
    </w:p>
    <w:p w:rsidR="00FC12DD" w:rsidRDefault="00FC12DD" w:rsidP="00FC12DD">
      <w:pPr>
        <w:shd w:val="clear" w:color="auto" w:fill="FFFFFF"/>
        <w:ind w:firstLine="360"/>
        <w:jc w:val="both"/>
        <w:textAlignment w:val="baseline"/>
        <w:rPr>
          <w:rFonts w:ascii="Times New Roman" w:hAnsi="Times New Roman"/>
          <w:bCs/>
          <w:szCs w:val="24"/>
          <w:bdr w:val="none" w:sz="0" w:space="0" w:color="auto" w:frame="1"/>
        </w:rPr>
      </w:pP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p>
    <w:p w:rsidR="00FC12DD" w:rsidRPr="00B319D9" w:rsidRDefault="00FC12DD" w:rsidP="00FC12DD">
      <w:pPr>
        <w:shd w:val="clear" w:color="auto" w:fill="FFFFFF"/>
        <w:ind w:firstLine="360"/>
        <w:jc w:val="both"/>
        <w:textAlignment w:val="baseline"/>
        <w:rPr>
          <w:rFonts w:ascii="Times New Roman" w:hAnsi="Times New Roman"/>
          <w:b/>
          <w:bCs/>
          <w:szCs w:val="24"/>
          <w:bdr w:val="none" w:sz="0" w:space="0" w:color="auto" w:frame="1"/>
        </w:rPr>
      </w:pPr>
      <w:r w:rsidRPr="00B319D9">
        <w:rPr>
          <w:rFonts w:ascii="Times New Roman" w:hAnsi="Times New Roman"/>
          <w:b/>
          <w:bCs/>
          <w:szCs w:val="24"/>
          <w:bdr w:val="none" w:sz="0" w:space="0" w:color="auto" w:frame="1"/>
        </w:rPr>
        <w:t>Подробностите зависят от  характера на модула, към който ще се извършва присъединяването:</w:t>
      </w:r>
    </w:p>
    <w:p w:rsidR="00FC12DD" w:rsidRPr="00B319D9" w:rsidRDefault="00FC12DD" w:rsidP="00FC12DD">
      <w:pPr>
        <w:numPr>
          <w:ilvl w:val="0"/>
          <w:numId w:val="2"/>
        </w:numPr>
        <w:shd w:val="clear" w:color="auto" w:fill="FFFFFF"/>
        <w:jc w:val="both"/>
        <w:textAlignment w:val="baseline"/>
        <w:rPr>
          <w:rFonts w:ascii="Times New Roman" w:hAnsi="Times New Roman"/>
          <w:bCs/>
          <w:szCs w:val="24"/>
          <w:bdr w:val="none" w:sz="0" w:space="0" w:color="auto" w:frame="1"/>
        </w:rPr>
      </w:pPr>
      <w:r w:rsidRPr="00B319D9">
        <w:rPr>
          <w:rFonts w:ascii="Times New Roman" w:hAnsi="Times New Roman"/>
          <w:b/>
          <w:bCs/>
          <w:i/>
          <w:szCs w:val="24"/>
          <w:bdr w:val="none" w:sz="0" w:space="0" w:color="auto" w:frame="1"/>
        </w:rPr>
        <w:t>Модул „Електронни доказателства“</w:t>
      </w:r>
      <w:r w:rsidRPr="00B319D9">
        <w:rPr>
          <w:rFonts w:ascii="Times New Roman" w:hAnsi="Times New Roman"/>
          <w:bCs/>
          <w:szCs w:val="24"/>
          <w:bdr w:val="none" w:sz="0" w:space="0" w:color="auto" w:frame="1"/>
        </w:rPr>
        <w:t xml:space="preserve"> – държавите членки следва да предприемат всички организационни и технически стъпки за осигуряване на свързване към Европейската платформа за електронни доказателства, децентрализирана мрежа от национални портали за комуникация помежду си чрез e-CODEX. Това може да доведе до инсталиране на точка за достъп до e-CODEX (ако все още не е налична), и да я свърже или с референтното приложение на Европейската комисия, или с подобрени национални решения, които вече са налице.</w:t>
      </w:r>
    </w:p>
    <w:p w:rsidR="00FC12DD" w:rsidRPr="00B319D9" w:rsidRDefault="00FC12DD" w:rsidP="00FC12DD">
      <w:pPr>
        <w:shd w:val="clear" w:color="auto" w:fill="FFFFFF"/>
        <w:ind w:firstLine="360"/>
        <w:jc w:val="both"/>
        <w:textAlignment w:val="baseline"/>
        <w:rPr>
          <w:rFonts w:ascii="Times New Roman" w:hAnsi="Times New Roman"/>
          <w:bCs/>
          <w:sz w:val="12"/>
          <w:szCs w:val="12"/>
          <w:bdr w:val="none" w:sz="0" w:space="0" w:color="auto" w:frame="1"/>
        </w:rPr>
      </w:pP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Допустими организации за модул „Електронни доказателства“ – компетентните национални публични администрации, напр. прокуратурите.</w:t>
      </w:r>
    </w:p>
    <w:p w:rsidR="00FC12DD" w:rsidRPr="00B319D9" w:rsidRDefault="00FC12DD" w:rsidP="00FC12DD">
      <w:pPr>
        <w:shd w:val="clear" w:color="auto" w:fill="FFFFFF"/>
        <w:ind w:firstLine="360"/>
        <w:jc w:val="both"/>
        <w:textAlignment w:val="baseline"/>
        <w:rPr>
          <w:rFonts w:ascii="Times New Roman" w:hAnsi="Times New Roman"/>
          <w:bCs/>
          <w:szCs w:val="24"/>
          <w:highlight w:val="yellow"/>
          <w:bdr w:val="none" w:sz="0" w:space="0" w:color="auto" w:frame="1"/>
        </w:rPr>
      </w:pPr>
    </w:p>
    <w:p w:rsidR="00FC12DD" w:rsidRPr="00B319D9" w:rsidRDefault="00FC12DD" w:rsidP="00FC12DD">
      <w:pPr>
        <w:numPr>
          <w:ilvl w:val="0"/>
          <w:numId w:val="2"/>
        </w:numPr>
        <w:shd w:val="clear" w:color="auto" w:fill="FFFFFF"/>
        <w:jc w:val="both"/>
        <w:textAlignment w:val="baseline"/>
        <w:rPr>
          <w:rFonts w:ascii="Times New Roman" w:hAnsi="Times New Roman"/>
          <w:bCs/>
          <w:szCs w:val="24"/>
          <w:bdr w:val="none" w:sz="0" w:space="0" w:color="auto" w:frame="1"/>
          <w:lang w:val="en-US"/>
        </w:rPr>
      </w:pPr>
      <w:r w:rsidRPr="00B319D9">
        <w:rPr>
          <w:rFonts w:ascii="Times New Roman" w:hAnsi="Times New Roman"/>
          <w:b/>
          <w:bCs/>
          <w:i/>
          <w:szCs w:val="24"/>
          <w:bdr w:val="none" w:sz="0" w:space="0" w:color="auto" w:frame="1"/>
        </w:rPr>
        <w:t>Модул „Достъп до</w:t>
      </w:r>
      <w:r w:rsidRPr="00B319D9">
        <w:rPr>
          <w:rFonts w:ascii="Times New Roman" w:hAnsi="Times New Roman"/>
          <w:b/>
          <w:i/>
          <w:szCs w:val="24"/>
        </w:rPr>
        <w:t xml:space="preserve"> </w:t>
      </w:r>
      <w:r w:rsidRPr="00B319D9">
        <w:rPr>
          <w:rFonts w:ascii="Times New Roman" w:hAnsi="Times New Roman"/>
          <w:b/>
          <w:bCs/>
          <w:i/>
          <w:szCs w:val="24"/>
          <w:bdr w:val="none" w:sz="0" w:space="0" w:color="auto" w:frame="1"/>
        </w:rPr>
        <w:t>e-CODEX“</w:t>
      </w:r>
      <w:r w:rsidRPr="00B319D9">
        <w:rPr>
          <w:rFonts w:ascii="Times New Roman" w:hAnsi="Times New Roman"/>
          <w:bCs/>
          <w:szCs w:val="24"/>
          <w:bdr w:val="none" w:sz="0" w:space="0" w:color="auto" w:frame="1"/>
        </w:rPr>
        <w:t xml:space="preserve"> – подкрепа за държавите членки да се присъединят към процедурата „Европейска заповед за плащане“, Европейската процедура за искове с малък материален интерес или към други приоритетни пилотни проекти, идентифицирани в Плана за действие в областта на европейското електронно правосъдие за периода 2019-2023 г. Приоритет ще бъде даден на предложения за проекти, които предвиждат и възможност за изпращане на отговори от национални съдилища чрез e-CODEX до потребителите на </w:t>
      </w:r>
      <w:r w:rsidRPr="00B319D9">
        <w:rPr>
          <w:rFonts w:ascii="Times New Roman" w:hAnsi="Times New Roman"/>
          <w:bCs/>
          <w:szCs w:val="24"/>
          <w:bdr w:val="none" w:sz="0" w:space="0" w:color="auto" w:frame="1"/>
          <w:lang w:val="en-US"/>
        </w:rPr>
        <w:t>e-Justice.</w:t>
      </w:r>
    </w:p>
    <w:p w:rsidR="00FC12DD" w:rsidRPr="00B319D9" w:rsidRDefault="00FC12DD" w:rsidP="00FC12DD">
      <w:pPr>
        <w:shd w:val="clear" w:color="auto" w:fill="FFFFFF"/>
        <w:ind w:firstLine="360"/>
        <w:jc w:val="both"/>
        <w:textAlignment w:val="baseline"/>
        <w:rPr>
          <w:rFonts w:ascii="Times New Roman" w:hAnsi="Times New Roman"/>
          <w:bCs/>
          <w:sz w:val="12"/>
          <w:szCs w:val="12"/>
          <w:bdr w:val="none" w:sz="0" w:space="0" w:color="auto" w:frame="1"/>
          <w:lang w:val="en-US"/>
        </w:rPr>
      </w:pP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Държавите членки се приканват да представят предложение, което обхваща една или повече от следните дейности:</w:t>
      </w:r>
    </w:p>
    <w:p w:rsidR="00FC12DD" w:rsidRPr="00B319D9" w:rsidRDefault="00FC12DD" w:rsidP="00FC12DD">
      <w:pPr>
        <w:numPr>
          <w:ilvl w:val="0"/>
          <w:numId w:val="3"/>
        </w:numPr>
        <w:shd w:val="clear" w:color="auto" w:fill="FFFFFF"/>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 xml:space="preserve">дейности, свързани с разгръщането, конфигурирането, тестването и експлоатацията на точка за достъп за </w:t>
      </w:r>
      <w:proofErr w:type="spellStart"/>
      <w:r w:rsidRPr="00B319D9">
        <w:rPr>
          <w:rFonts w:ascii="Times New Roman" w:hAnsi="Times New Roman"/>
          <w:bCs/>
          <w:szCs w:val="24"/>
          <w:bdr w:val="none" w:sz="0" w:space="0" w:color="auto" w:frame="1"/>
          <w:lang w:val="en-US"/>
        </w:rPr>
        <w:t>електронна</w:t>
      </w:r>
      <w:proofErr w:type="spellEnd"/>
      <w:r w:rsidRPr="00B319D9">
        <w:rPr>
          <w:rFonts w:ascii="Times New Roman" w:hAnsi="Times New Roman"/>
          <w:bCs/>
          <w:szCs w:val="24"/>
          <w:bdr w:val="none" w:sz="0" w:space="0" w:color="auto" w:frame="1"/>
          <w:lang w:val="en-US"/>
        </w:rPr>
        <w:t xml:space="preserve"> </w:t>
      </w:r>
      <w:proofErr w:type="spellStart"/>
      <w:r w:rsidRPr="00B319D9">
        <w:rPr>
          <w:rFonts w:ascii="Times New Roman" w:hAnsi="Times New Roman"/>
          <w:bCs/>
          <w:szCs w:val="24"/>
          <w:bdr w:val="none" w:sz="0" w:space="0" w:color="auto" w:frame="1"/>
          <w:lang w:val="en-US"/>
        </w:rPr>
        <w:t>доставка</w:t>
      </w:r>
      <w:proofErr w:type="spellEnd"/>
      <w:r w:rsidRPr="00B319D9">
        <w:rPr>
          <w:rFonts w:ascii="Times New Roman" w:hAnsi="Times New Roman"/>
          <w:bCs/>
          <w:szCs w:val="24"/>
          <w:bdr w:val="none" w:sz="0" w:space="0" w:color="auto" w:frame="1"/>
          <w:lang w:val="en-US"/>
        </w:rPr>
        <w:t xml:space="preserve"> </w:t>
      </w:r>
      <w:proofErr w:type="spellStart"/>
      <w:r w:rsidRPr="00B319D9">
        <w:rPr>
          <w:rFonts w:ascii="Times New Roman" w:hAnsi="Times New Roman"/>
          <w:bCs/>
          <w:szCs w:val="24"/>
          <w:bdr w:val="none" w:sz="0" w:space="0" w:color="auto" w:frame="1"/>
          <w:lang w:val="en-US"/>
        </w:rPr>
        <w:t>на</w:t>
      </w:r>
      <w:proofErr w:type="spellEnd"/>
      <w:r w:rsidRPr="00B319D9">
        <w:rPr>
          <w:rFonts w:ascii="Times New Roman" w:hAnsi="Times New Roman"/>
          <w:bCs/>
          <w:szCs w:val="24"/>
          <w:bdr w:val="none" w:sz="0" w:space="0" w:color="auto" w:frame="1"/>
          <w:lang w:val="en-US"/>
        </w:rPr>
        <w:t xml:space="preserve"> </w:t>
      </w:r>
      <w:proofErr w:type="spellStart"/>
      <w:r w:rsidRPr="00B319D9">
        <w:rPr>
          <w:rFonts w:ascii="Times New Roman" w:hAnsi="Times New Roman"/>
          <w:bCs/>
          <w:szCs w:val="24"/>
          <w:bdr w:val="none" w:sz="0" w:space="0" w:color="auto" w:frame="1"/>
          <w:lang w:val="en-US"/>
        </w:rPr>
        <w:t>документи</w:t>
      </w:r>
      <w:proofErr w:type="spellEnd"/>
      <w:r w:rsidRPr="00B319D9">
        <w:rPr>
          <w:rFonts w:ascii="Times New Roman" w:hAnsi="Times New Roman"/>
          <w:bCs/>
          <w:szCs w:val="24"/>
          <w:bdr w:val="none" w:sz="0" w:space="0" w:color="auto" w:frame="1"/>
          <w:lang w:val="en-US"/>
        </w:rPr>
        <w:t xml:space="preserve"> (</w:t>
      </w:r>
      <w:proofErr w:type="spellStart"/>
      <w:r w:rsidRPr="00B319D9">
        <w:rPr>
          <w:rFonts w:ascii="Times New Roman" w:hAnsi="Times New Roman"/>
          <w:bCs/>
          <w:szCs w:val="24"/>
          <w:bdr w:val="none" w:sz="0" w:space="0" w:color="auto" w:frame="1"/>
          <w:lang w:val="en-US"/>
        </w:rPr>
        <w:t>eDelivery</w:t>
      </w:r>
      <w:proofErr w:type="spellEnd"/>
      <w:r w:rsidRPr="00B319D9">
        <w:rPr>
          <w:rFonts w:ascii="Times New Roman" w:hAnsi="Times New Roman"/>
          <w:bCs/>
          <w:szCs w:val="24"/>
          <w:bdr w:val="none" w:sz="0" w:space="0" w:color="auto" w:frame="1"/>
        </w:rPr>
        <w:t xml:space="preserve">). </w:t>
      </w:r>
    </w:p>
    <w:p w:rsidR="00FC12DD" w:rsidRPr="00B319D9" w:rsidRDefault="00FC12DD" w:rsidP="00FC12DD">
      <w:pPr>
        <w:numPr>
          <w:ilvl w:val="0"/>
          <w:numId w:val="3"/>
        </w:numPr>
        <w:shd w:val="clear" w:color="auto" w:fill="FFFFFF"/>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дейности, свързани с внедряването, адаптирането, конфигурирането, тестването и експлоатацията на конектора e-CODEX (или на друг съществуващ софтуер на трета страна, който може да изпълнява същата роля с минимално адаптиране) – генериране на необходимите доказателства за приемане, валидиране на подписа и др.</w:t>
      </w:r>
    </w:p>
    <w:p w:rsidR="00FC12DD" w:rsidRPr="00B319D9" w:rsidRDefault="00FC12DD" w:rsidP="00FC12DD">
      <w:pPr>
        <w:numPr>
          <w:ilvl w:val="0"/>
          <w:numId w:val="3"/>
        </w:numPr>
        <w:shd w:val="clear" w:color="auto" w:fill="FFFFFF"/>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lastRenderedPageBreak/>
        <w:t>набор от дейности за всеки съдебен процес във връзка със задачи, отнасящи се до: свързването на националната инфраструктура към платформата за електронно доставяне (</w:t>
      </w:r>
      <w:proofErr w:type="spellStart"/>
      <w:r w:rsidRPr="00B319D9">
        <w:rPr>
          <w:rFonts w:ascii="Times New Roman" w:hAnsi="Times New Roman"/>
          <w:bCs/>
          <w:szCs w:val="24"/>
          <w:bdr w:val="none" w:sz="0" w:space="0" w:color="auto" w:frame="1"/>
        </w:rPr>
        <w:t>eDelivery</w:t>
      </w:r>
      <w:proofErr w:type="spellEnd"/>
      <w:r w:rsidRPr="00B319D9">
        <w:rPr>
          <w:rFonts w:ascii="Times New Roman" w:hAnsi="Times New Roman"/>
          <w:bCs/>
          <w:szCs w:val="24"/>
          <w:bdr w:val="none" w:sz="0" w:space="0" w:color="auto" w:frame="1"/>
        </w:rPr>
        <w:t>); създаването и потреблението на файлове във формат XML, PDF и други видове файлове от предварително договорен трансграничен формат; тестване и функциониране на системата.</w:t>
      </w:r>
    </w:p>
    <w:p w:rsidR="00FC12DD" w:rsidRPr="00B319D9" w:rsidRDefault="00FC12DD" w:rsidP="00FC12DD">
      <w:pPr>
        <w:shd w:val="clear" w:color="auto" w:fill="FFFFFF"/>
        <w:ind w:firstLine="360"/>
        <w:jc w:val="both"/>
        <w:textAlignment w:val="baseline"/>
        <w:rPr>
          <w:rFonts w:ascii="Times New Roman" w:hAnsi="Times New Roman"/>
          <w:b/>
          <w:bCs/>
          <w:sz w:val="12"/>
          <w:szCs w:val="12"/>
          <w:bdr w:val="none" w:sz="0" w:space="0" w:color="auto" w:frame="1"/>
        </w:rPr>
      </w:pP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Допустими организации за модул e-CODEX: компетентните национални публични администрации.</w:t>
      </w:r>
    </w:p>
    <w:p w:rsidR="00FC12DD" w:rsidRPr="00B319D9" w:rsidRDefault="00FC12DD" w:rsidP="00FC12DD">
      <w:pPr>
        <w:shd w:val="clear" w:color="auto" w:fill="FFFFFF"/>
        <w:ind w:firstLine="360"/>
        <w:jc w:val="both"/>
        <w:textAlignment w:val="baseline"/>
        <w:rPr>
          <w:rFonts w:ascii="Times New Roman" w:hAnsi="Times New Roman"/>
          <w:bCs/>
          <w:szCs w:val="24"/>
          <w:highlight w:val="yellow"/>
          <w:bdr w:val="none" w:sz="0" w:space="0" w:color="auto" w:frame="1"/>
        </w:rPr>
      </w:pPr>
    </w:p>
    <w:p w:rsidR="00FC12DD" w:rsidRPr="00B319D9" w:rsidRDefault="00FC12DD" w:rsidP="00FC12DD">
      <w:pPr>
        <w:numPr>
          <w:ilvl w:val="0"/>
          <w:numId w:val="2"/>
        </w:numPr>
        <w:shd w:val="clear" w:color="auto" w:fill="FFFFFF"/>
        <w:jc w:val="both"/>
        <w:textAlignment w:val="baseline"/>
        <w:rPr>
          <w:rFonts w:ascii="Times New Roman" w:hAnsi="Times New Roman"/>
          <w:bCs/>
          <w:szCs w:val="24"/>
          <w:bdr w:val="none" w:sz="0" w:space="0" w:color="auto" w:frame="1"/>
        </w:rPr>
      </w:pPr>
      <w:r w:rsidRPr="00B319D9">
        <w:rPr>
          <w:rFonts w:ascii="Times New Roman" w:hAnsi="Times New Roman"/>
          <w:b/>
          <w:bCs/>
          <w:i/>
          <w:szCs w:val="24"/>
          <w:bdr w:val="none" w:sz="0" w:space="0" w:color="auto" w:frame="1"/>
        </w:rPr>
        <w:t>Модул „Взаимно свързване на регистрите за производствата по несъстоятелност“ –</w:t>
      </w:r>
      <w:r w:rsidRPr="00B319D9">
        <w:rPr>
          <w:rFonts w:ascii="Times New Roman" w:hAnsi="Times New Roman"/>
          <w:bCs/>
          <w:szCs w:val="24"/>
          <w:bdr w:val="none" w:sz="0" w:space="0" w:color="auto" w:frame="1"/>
        </w:rPr>
        <w:t xml:space="preserve"> националните регистри следва да прилагат съответните спецификации за уеб услуги, необходими за комуникация с основната платформа за услуги.</w:t>
      </w:r>
    </w:p>
    <w:p w:rsidR="00FC12DD" w:rsidRPr="00B319D9" w:rsidRDefault="00FC12DD" w:rsidP="00FC12DD">
      <w:pPr>
        <w:shd w:val="clear" w:color="auto" w:fill="FFFFFF"/>
        <w:jc w:val="both"/>
        <w:textAlignment w:val="baseline"/>
        <w:rPr>
          <w:rFonts w:ascii="Times New Roman" w:hAnsi="Times New Roman"/>
          <w:bCs/>
          <w:sz w:val="12"/>
          <w:szCs w:val="12"/>
          <w:bdr w:val="none" w:sz="0" w:space="0" w:color="auto" w:frame="1"/>
        </w:rPr>
      </w:pP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Допустими организации</w:t>
      </w:r>
      <w:r w:rsidRPr="00B319D9">
        <w:rPr>
          <w:rFonts w:ascii="Times New Roman" w:hAnsi="Times New Roman"/>
          <w:b/>
          <w:bCs/>
          <w:szCs w:val="24"/>
          <w:bdr w:val="none" w:sz="0" w:space="0" w:color="auto" w:frame="1"/>
        </w:rPr>
        <w:t xml:space="preserve"> </w:t>
      </w:r>
      <w:r w:rsidRPr="00B319D9">
        <w:rPr>
          <w:rFonts w:ascii="Times New Roman" w:hAnsi="Times New Roman"/>
          <w:bCs/>
          <w:szCs w:val="24"/>
          <w:bdr w:val="none" w:sz="0" w:space="0" w:color="auto" w:frame="1"/>
        </w:rPr>
        <w:t>– национални държавни администрации, с правомощия за водене на търговските регистри или регистрите за пр</w:t>
      </w:r>
      <w:r>
        <w:rPr>
          <w:rFonts w:ascii="Times New Roman" w:hAnsi="Times New Roman"/>
          <w:bCs/>
          <w:szCs w:val="24"/>
          <w:bdr w:val="none" w:sz="0" w:space="0" w:color="auto" w:frame="1"/>
        </w:rPr>
        <w:t>оизводствата по несъстоятелност.</w:t>
      </w: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p>
    <w:p w:rsidR="00FC12DD" w:rsidRPr="00B319D9" w:rsidRDefault="00FC12DD" w:rsidP="00FC12DD">
      <w:pPr>
        <w:numPr>
          <w:ilvl w:val="0"/>
          <w:numId w:val="2"/>
        </w:numPr>
        <w:shd w:val="clear" w:color="auto" w:fill="FFFFFF"/>
        <w:spacing w:after="120"/>
        <w:jc w:val="both"/>
        <w:textAlignment w:val="baseline"/>
        <w:rPr>
          <w:rFonts w:ascii="Times New Roman" w:hAnsi="Times New Roman"/>
          <w:b/>
          <w:bCs/>
          <w:i/>
          <w:szCs w:val="24"/>
          <w:bdr w:val="none" w:sz="0" w:space="0" w:color="auto" w:frame="1"/>
        </w:rPr>
      </w:pPr>
      <w:r w:rsidRPr="00B319D9">
        <w:rPr>
          <w:rFonts w:ascii="Times New Roman" w:hAnsi="Times New Roman"/>
          <w:b/>
          <w:bCs/>
          <w:i/>
          <w:szCs w:val="24"/>
          <w:bdr w:val="none" w:sz="0" w:space="0" w:color="auto" w:frame="1"/>
        </w:rPr>
        <w:t>Модул „Интегриране на електронни многоезикови стандартни форми в националните системи за електронно управление“</w:t>
      </w:r>
    </w:p>
    <w:p w:rsidR="00FC12DD" w:rsidRPr="00B319D9" w:rsidRDefault="00FC12DD" w:rsidP="00FC12DD">
      <w:pPr>
        <w:shd w:val="clear" w:color="auto" w:fill="FFFFFF"/>
        <w:spacing w:after="120"/>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Допустими организации</w:t>
      </w:r>
      <w:r w:rsidRPr="00B319D9">
        <w:rPr>
          <w:rFonts w:ascii="Times New Roman" w:hAnsi="Times New Roman"/>
          <w:b/>
          <w:bCs/>
          <w:szCs w:val="24"/>
          <w:bdr w:val="none" w:sz="0" w:space="0" w:color="auto" w:frame="1"/>
        </w:rPr>
        <w:t xml:space="preserve"> </w:t>
      </w:r>
      <w:r w:rsidRPr="00B319D9">
        <w:rPr>
          <w:rFonts w:ascii="Times New Roman" w:hAnsi="Times New Roman"/>
          <w:bCs/>
          <w:szCs w:val="24"/>
          <w:bdr w:val="none" w:sz="0" w:space="0" w:color="auto" w:frame="1"/>
        </w:rPr>
        <w:t>– публичен орган, компетентен за издаване или получаване на официални документи (съгласно определението в чл. 3(1) от Регламент 2016/1191), централни органи (съгласно определението в чл. 3(6) от Регламент 2016/1191)  или други публични органи, отговарящи за прилагане на Регламент (ЕС) 2016/1191.</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Всяко предложение за проект по съответния модул може да включва до три вида дейности:</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AF41D2">
        <w:rPr>
          <w:rFonts w:ascii="Times New Roman" w:hAnsi="Times New Roman"/>
          <w:bCs/>
          <w:szCs w:val="24"/>
          <w:bdr w:val="none" w:sz="0" w:space="0" w:color="auto" w:frame="1"/>
        </w:rPr>
        <w:t>•</w:t>
      </w:r>
      <w:r w:rsidRPr="00AF41D2">
        <w:rPr>
          <w:rFonts w:ascii="Times New Roman" w:hAnsi="Times New Roman"/>
          <w:bCs/>
          <w:szCs w:val="24"/>
          <w:bdr w:val="none" w:sz="0" w:space="0" w:color="auto" w:frame="1"/>
        </w:rPr>
        <w:tab/>
        <w:t>свързване: обхваща всички дейности, свързани с: разработването на специфичен софтуер за свързване; измененията и адаптациите на съществуващите информационни</w:t>
      </w:r>
      <w:r w:rsidRPr="00B319D9">
        <w:rPr>
          <w:rFonts w:ascii="Times New Roman" w:hAnsi="Times New Roman"/>
          <w:bCs/>
          <w:szCs w:val="24"/>
          <w:bdr w:val="none" w:sz="0" w:space="0" w:color="auto" w:frame="1"/>
        </w:rPr>
        <w:t xml:space="preserve"> системи, </w:t>
      </w:r>
      <w:proofErr w:type="spellStart"/>
      <w:r w:rsidRPr="00B319D9">
        <w:rPr>
          <w:rFonts w:ascii="Times New Roman" w:hAnsi="Times New Roman"/>
          <w:bCs/>
          <w:szCs w:val="24"/>
          <w:bdr w:val="none" w:sz="0" w:space="0" w:color="auto" w:frame="1"/>
        </w:rPr>
        <w:t>напр</w:t>
      </w:r>
      <w:proofErr w:type="spellEnd"/>
      <w:r w:rsidRPr="00B319D9">
        <w:rPr>
          <w:rFonts w:ascii="Times New Roman" w:hAnsi="Times New Roman"/>
          <w:bCs/>
          <w:szCs w:val="24"/>
          <w:bdr w:val="none" w:sz="0" w:space="0" w:color="auto" w:frame="1"/>
        </w:rPr>
        <w:t>: инсталиране и конфигуриране на харду</w:t>
      </w:r>
      <w:r>
        <w:rPr>
          <w:rFonts w:ascii="Times New Roman" w:hAnsi="Times New Roman"/>
          <w:bCs/>
          <w:szCs w:val="24"/>
          <w:bdr w:val="none" w:sz="0" w:space="0" w:color="auto" w:frame="1"/>
        </w:rPr>
        <w:t>ерна и софтуерна инфраструктура;</w:t>
      </w:r>
      <w:r w:rsidRPr="00B319D9">
        <w:rPr>
          <w:rFonts w:ascii="Times New Roman" w:hAnsi="Times New Roman"/>
          <w:bCs/>
          <w:szCs w:val="24"/>
          <w:bdr w:val="none" w:sz="0" w:space="0" w:color="auto" w:frame="1"/>
        </w:rPr>
        <w:t xml:space="preserve"> необходимата адаптация в съществуващите софтуер</w:t>
      </w:r>
      <w:r>
        <w:rPr>
          <w:rFonts w:ascii="Times New Roman" w:hAnsi="Times New Roman"/>
          <w:bCs/>
          <w:szCs w:val="24"/>
          <w:bdr w:val="none" w:sz="0" w:space="0" w:color="auto" w:frame="1"/>
        </w:rPr>
        <w:t>ни решения и източници на данни; въвеждане на общата услуга;</w:t>
      </w:r>
      <w:r w:rsidRPr="00B319D9">
        <w:rPr>
          <w:rFonts w:ascii="Times New Roman" w:hAnsi="Times New Roman"/>
          <w:bCs/>
          <w:szCs w:val="24"/>
          <w:bdr w:val="none" w:sz="0" w:space="0" w:color="auto" w:frame="1"/>
        </w:rPr>
        <w:t xml:space="preserve"> местни и интеграционни те</w:t>
      </w:r>
      <w:r>
        <w:rPr>
          <w:rFonts w:ascii="Times New Roman" w:hAnsi="Times New Roman"/>
          <w:bCs/>
          <w:szCs w:val="24"/>
          <w:bdr w:val="none" w:sz="0" w:space="0" w:color="auto" w:frame="1"/>
        </w:rPr>
        <w:t xml:space="preserve">стове; </w:t>
      </w:r>
      <w:r w:rsidRPr="00B319D9">
        <w:rPr>
          <w:rFonts w:ascii="Times New Roman" w:hAnsi="Times New Roman"/>
          <w:bCs/>
          <w:szCs w:val="24"/>
          <w:bdr w:val="none" w:sz="0" w:space="0" w:color="auto" w:frame="1"/>
        </w:rPr>
        <w:t>управление на проекта и др.</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w:t>
      </w:r>
      <w:r w:rsidRPr="00B319D9">
        <w:rPr>
          <w:rFonts w:ascii="Times New Roman" w:hAnsi="Times New Roman"/>
          <w:bCs/>
          <w:szCs w:val="24"/>
          <w:bdr w:val="none" w:sz="0" w:space="0" w:color="auto" w:frame="1"/>
        </w:rPr>
        <w:tab/>
        <w:t>експлоатация: покрива оперативните разходи, като например хостинг, придобиване на сертификати или софтуерни лицензии, техническа помощ и др.;</w:t>
      </w:r>
    </w:p>
    <w:p w:rsidR="00FC12DD" w:rsidRPr="00B319D9" w:rsidRDefault="00FC12DD" w:rsidP="00FC12DD">
      <w:pPr>
        <w:shd w:val="clear" w:color="auto" w:fill="FFFFFF"/>
        <w:ind w:firstLine="357"/>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w:t>
      </w:r>
      <w:r w:rsidRPr="00B319D9">
        <w:rPr>
          <w:rFonts w:ascii="Times New Roman" w:hAnsi="Times New Roman"/>
          <w:bCs/>
          <w:szCs w:val="24"/>
          <w:bdr w:val="none" w:sz="0" w:space="0" w:color="auto" w:frame="1"/>
        </w:rPr>
        <w:tab/>
        <w:t>поддръжка: обхваща всички дейности, необходими за поддържане на специфичния софтуер за свързване и съответната конфигурация. Това включва адаптивна поддръжка (смяна на софтуера, за да се работи в променяща се инфраструктура), последваща поддръжка (смяна на софтуера с цел адаптиране към променящите се изисквания, като например промени в основната платформа или в националната услуга) и др.</w:t>
      </w: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Предложенията за проекти по съответните</w:t>
      </w:r>
      <w:r>
        <w:rPr>
          <w:rFonts w:ascii="Times New Roman" w:hAnsi="Times New Roman"/>
          <w:bCs/>
          <w:szCs w:val="24"/>
          <w:bdr w:val="none" w:sz="0" w:space="0" w:color="auto" w:frame="1"/>
        </w:rPr>
        <w:t xml:space="preserve"> модули могат да се подадат от една</w:t>
      </w:r>
      <w:r w:rsidRPr="00B319D9">
        <w:rPr>
          <w:rFonts w:ascii="Times New Roman" w:hAnsi="Times New Roman"/>
          <w:bCs/>
          <w:szCs w:val="24"/>
          <w:bdr w:val="none" w:sz="0" w:space="0" w:color="auto" w:frame="1"/>
        </w:rPr>
        <w:t xml:space="preserve"> организация или от консорциум от организации, посочени за допустими в съответния моду</w:t>
      </w:r>
      <w:r w:rsidRPr="00B319D9">
        <w:rPr>
          <w:rFonts w:ascii="Times New Roman" w:hAnsi="Times New Roman"/>
          <w:szCs w:val="24"/>
        </w:rPr>
        <w:t xml:space="preserve">л. </w:t>
      </w:r>
      <w:r w:rsidRPr="00B319D9">
        <w:rPr>
          <w:rFonts w:ascii="Times New Roman" w:hAnsi="Times New Roman"/>
          <w:bCs/>
          <w:szCs w:val="24"/>
          <w:bdr w:val="none" w:sz="0" w:space="0" w:color="auto" w:frame="1"/>
        </w:rPr>
        <w:t>Въвеждането на решение за електронно доставяне на документи (</w:t>
      </w:r>
      <w:proofErr w:type="spellStart"/>
      <w:r w:rsidRPr="00B319D9">
        <w:rPr>
          <w:rFonts w:ascii="Times New Roman" w:hAnsi="Times New Roman"/>
          <w:bCs/>
          <w:szCs w:val="24"/>
          <w:bdr w:val="none" w:sz="0" w:space="0" w:color="auto" w:frame="1"/>
        </w:rPr>
        <w:t>eDelivery</w:t>
      </w:r>
      <w:proofErr w:type="spellEnd"/>
      <w:r w:rsidRPr="00B319D9">
        <w:rPr>
          <w:rFonts w:ascii="Times New Roman" w:hAnsi="Times New Roman"/>
          <w:bCs/>
          <w:szCs w:val="24"/>
          <w:bdr w:val="none" w:sz="0" w:space="0" w:color="auto" w:frame="1"/>
        </w:rPr>
        <w:t>) може да бъде част от предложението.</w:t>
      </w:r>
    </w:p>
    <w:p w:rsidR="00FC12DD" w:rsidRPr="00B319D9"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В случай на подадени прекалено голям брой предложения за проекти, проектите по модул за електронни доказателства ще се считат за първи приоритет, заявленията за свързване на регистрите по несъстоятелност ще се считат за втори приоритет и заявленията за всеки от другите модули ще се считат за трети приоритет.</w:t>
      </w:r>
    </w:p>
    <w:p w:rsidR="00FC12DD" w:rsidRDefault="00FC12DD" w:rsidP="00FC12DD">
      <w:pPr>
        <w:shd w:val="clear" w:color="auto" w:fill="FFFFFF"/>
        <w:ind w:firstLine="360"/>
        <w:jc w:val="both"/>
        <w:textAlignment w:val="baseline"/>
        <w:rPr>
          <w:rFonts w:ascii="Times New Roman" w:hAnsi="Times New Roman"/>
          <w:bCs/>
          <w:szCs w:val="24"/>
          <w:bdr w:val="none" w:sz="0" w:space="0" w:color="auto" w:frame="1"/>
        </w:rPr>
      </w:pPr>
      <w:r w:rsidRPr="00B319D9">
        <w:rPr>
          <w:rFonts w:ascii="Times New Roman" w:hAnsi="Times New Roman"/>
          <w:bCs/>
          <w:szCs w:val="24"/>
          <w:bdr w:val="none" w:sz="0" w:space="0" w:color="auto" w:frame="1"/>
        </w:rPr>
        <w:t>Бюджетът е 3 млн. евро за всички модули, а продължителността на проектите – 2 години. Финансирането от ЕК е до 75 % от допустимите преки разходи плюс 7 % непреки разходи.</w:t>
      </w:r>
    </w:p>
    <w:p w:rsidR="00770358" w:rsidRDefault="00770358"/>
    <w:sectPr w:rsidR="00770358" w:rsidSect="00FC12DD">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1A35"/>
    <w:multiLevelType w:val="hybridMultilevel"/>
    <w:tmpl w:val="A6D831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F0229E3"/>
    <w:multiLevelType w:val="hybridMultilevel"/>
    <w:tmpl w:val="287A2EE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44552093"/>
    <w:multiLevelType w:val="hybridMultilevel"/>
    <w:tmpl w:val="C08AFB62"/>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 w15:restartNumberingAfterBreak="0">
    <w:nsid w:val="7FAD58A3"/>
    <w:multiLevelType w:val="hybridMultilevel"/>
    <w:tmpl w:val="A96AD8A2"/>
    <w:lvl w:ilvl="0" w:tplc="30EE61FE">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DD"/>
    <w:rsid w:val="00770358"/>
    <w:rsid w:val="00FC12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EC39"/>
  <w15:chartTrackingRefBased/>
  <w15:docId w15:val="{3C43A498-C0B0-4D26-ADA0-4FE7553D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DD"/>
    <w:pPr>
      <w:spacing w:after="0" w:line="240" w:lineRule="auto"/>
    </w:pPr>
    <w:rPr>
      <w:rFonts w:ascii="Arial" w:eastAsia="Times New Roman" w:hAnsi="Arial" w:cs="Times New Roman"/>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dex.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Kaneva</dc:creator>
  <cp:keywords/>
  <dc:description/>
  <cp:lastModifiedBy>Eli Kaneva</cp:lastModifiedBy>
  <cp:revision>1</cp:revision>
  <dcterms:created xsi:type="dcterms:W3CDTF">2019-06-24T06:34:00Z</dcterms:created>
  <dcterms:modified xsi:type="dcterms:W3CDTF">2019-06-24T06:34:00Z</dcterms:modified>
</cp:coreProperties>
</file>