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proofErr w:type="spellStart"/>
      <w:r w:rsidRPr="00683E50">
        <w:rPr>
          <w:rFonts w:ascii="Calibri" w:eastAsia="Calibri" w:hAnsi="Calibri" w:cs="Times New Roman"/>
          <w:color w:val="000000" w:themeColor="text1"/>
          <w:highlight w:val="yellow"/>
          <w:lang w:val="bg-BG"/>
        </w:rPr>
        <w:t>On</w:t>
      </w:r>
      <w:proofErr w:type="spellEnd"/>
      <w:r w:rsidRPr="00683E50">
        <w:rPr>
          <w:rFonts w:ascii="Calibri" w:eastAsia="Calibri" w:hAnsi="Calibri" w:cs="Times New Roman"/>
          <w:color w:val="000000" w:themeColor="text1"/>
          <w:highlight w:val="yellow"/>
          <w:lang w:val="bg-BG"/>
        </w:rPr>
        <w:t xml:space="preserve"> 7.4.2017 г. 18:38 ч., Assen Alexiev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highlight w:val="yellow"/>
          <w:lang w:val="bg-BG"/>
        </w:rPr>
        <w:t>wrote</w:t>
      </w:r>
      <w:proofErr w:type="spellEnd"/>
      <w:r w:rsidRPr="00683E50">
        <w:rPr>
          <w:rFonts w:ascii="Calibri" w:eastAsia="Calibri" w:hAnsi="Calibri" w:cs="Times New Roman"/>
          <w:color w:val="000000" w:themeColor="text1"/>
          <w:highlight w:val="yellow"/>
          <w:lang w:val="bg-BG"/>
        </w:rPr>
        <w:t>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Здравейте,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Изпращам ви моите коментари по проекта на Общите условия за регистрация и поддръжка на имена в интернет областта .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Коментарите ми са свързани с уредбата на разрешаването на споровете относно имена в областта .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onsolas" w:eastAsia="Calibri" w:hAnsi="Consolas" w:cs="Consolas"/>
          <w:color w:val="000000" w:themeColor="text1"/>
          <w:sz w:val="21"/>
          <w:szCs w:val="21"/>
        </w:rPr>
      </w:pPr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Предложеният проект на Общи условия и Приложение №3 към него (Правилник за устройството и дейността на арбитражен съд) силно се отклоняват от уредбата за разрешаване на споровете, която се съдържа в приетите от Обществения съвет през 2015 г. Принципи и изисквания за регистрация на имена в интернет областта .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. („Принципите”).</w:t>
      </w:r>
    </w:p>
    <w:p w:rsidR="00683E50" w:rsidRPr="00683E50" w:rsidRDefault="00683E50" w:rsidP="00683E50">
      <w:pPr>
        <w:spacing w:after="0" w:line="240" w:lineRule="auto"/>
        <w:rPr>
          <w:rFonts w:ascii="Consolas" w:eastAsia="Calibri" w:hAnsi="Consolas" w:cs="Consolas"/>
          <w:color w:val="000000" w:themeColor="text1"/>
          <w:sz w:val="21"/>
          <w:szCs w:val="21"/>
        </w:rPr>
      </w:pPr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Предвидените в чл.11 от проекта на Общи условия и Приложение №3 към него правила и процедура за оспорване на регистрацията на домейн предвиждат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факултативност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, а не задължителност на арбитража като начин за разрешаване на споровете, и не предвиждат прилагането на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), одобрена от ICANN. Това ще затрудни и забави разрешаването на споровете, и една от основните цели на Принципите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(виж 2.7. </w:t>
      </w:r>
      <w:r w:rsidRPr="00683E50">
        <w:rPr>
          <w:rFonts w:ascii="Calibri" w:eastAsia="Calibri" w:hAnsi="Calibri" w:cs="Times New Roman"/>
          <w:i/>
          <w:iCs/>
          <w:color w:val="000000" w:themeColor="text1"/>
          <w:lang w:val="bg-BG"/>
        </w:rPr>
        <w:t>Справедлива, прозрачна, бърза и ефективна процедура за разрешаване на споровете за Имена от областта „.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lang w:val="bg-BG"/>
        </w:rPr>
        <w:t xml:space="preserve">“ от независима от Регистъра арбитражна институция;) 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няма да бъде постигната.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Проектът на Общи условия не съдържа изискване заявителят при подаване на заявката да даде съгласие за участие в арбитражна процедура, а напротив – дават възможност на страните след възникването на спор да се договорят за арбитраж (виж чл.11, ал.1) . Това противоречи на чл.5.5 от Принципите, които изискват договорът за регистрация на Домейн да включва: „5.5.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Неотменимо съгласие на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Регистранта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да участва в арбитражни процедури съгласно чл.8 от настоящите Принципи и изисквания за разрешаване на спорове с трети лица за регистрираното от него Име и да бъде обвързан с постановените в такива арбитражни процедури решения.”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При липсата на задължителност на арбитража едва ли може да се очаква, че след възникването на спор страните ще постигнат съгласие за арбитраж. Най-вероятно ответникът ще търси начини за протакане, за което най-изгодно ще му бъде делото да се гледа от съда и да отнеме години, ако съдът въобще приеме да гледа делото.</w:t>
      </w:r>
    </w:p>
    <w:p w:rsidR="00683E50" w:rsidRPr="00683E50" w:rsidRDefault="00683E50" w:rsidP="00683E50">
      <w:pPr>
        <w:spacing w:after="0" w:line="240" w:lineRule="auto"/>
        <w:rPr>
          <w:rFonts w:ascii="Consolas" w:eastAsia="Calibri" w:hAnsi="Consolas" w:cs="Consolas"/>
          <w:color w:val="000000" w:themeColor="text1"/>
          <w:sz w:val="21"/>
          <w:szCs w:val="21"/>
        </w:rPr>
      </w:pPr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 </w:t>
      </w:r>
    </w:p>
    <w:p w:rsidR="00683E50" w:rsidRDefault="00683E50" w:rsidP="00683E50">
      <w:pPr>
        <w:spacing w:after="0" w:line="240" w:lineRule="auto"/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</w:pPr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Проектът на Общи условия не прилага по никакъв начин към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 xml:space="preserve">), одобрена 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отICANN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. Приложението на тази Политика се изисква от чл.8 от Принципи и изисквания за регистрация на имена в интернет областта .</w:t>
      </w:r>
      <w:proofErr w:type="spellStart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  <w:t>., който гласи:</w:t>
      </w:r>
    </w:p>
    <w:p w:rsidR="004F6B2F" w:rsidRDefault="004F6B2F" w:rsidP="00683E50">
      <w:pPr>
        <w:spacing w:after="0" w:line="240" w:lineRule="auto"/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</w:pPr>
    </w:p>
    <w:p w:rsidR="004F6B2F" w:rsidRDefault="004F6B2F" w:rsidP="00683E50">
      <w:pPr>
        <w:spacing w:after="0" w:line="240" w:lineRule="auto"/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</w:pPr>
    </w:p>
    <w:p w:rsidR="004F6B2F" w:rsidRDefault="004F6B2F" w:rsidP="00683E50">
      <w:pPr>
        <w:spacing w:after="0" w:line="240" w:lineRule="auto"/>
        <w:rPr>
          <w:rFonts w:ascii="Calibri" w:eastAsia="Calibri" w:hAnsi="Calibri" w:cs="Consolas"/>
          <w:color w:val="000000" w:themeColor="text1"/>
          <w:sz w:val="24"/>
          <w:szCs w:val="24"/>
          <w:lang w:val="bg-BG"/>
        </w:rPr>
      </w:pPr>
    </w:p>
    <w:p w:rsidR="004F6B2F" w:rsidRPr="00683E50" w:rsidRDefault="004F6B2F" w:rsidP="00683E50">
      <w:pPr>
        <w:spacing w:after="0" w:line="240" w:lineRule="auto"/>
        <w:rPr>
          <w:rFonts w:ascii="Consolas" w:eastAsia="Calibri" w:hAnsi="Consolas" w:cs="Consolas"/>
          <w:color w:val="000000" w:themeColor="text1"/>
          <w:sz w:val="21"/>
          <w:szCs w:val="21"/>
        </w:rPr>
      </w:pPr>
    </w:p>
    <w:p w:rsidR="00683E50" w:rsidRPr="00683E50" w:rsidRDefault="00683E50" w:rsidP="00683E50">
      <w:pPr>
        <w:spacing w:after="0" w:line="240" w:lineRule="auto"/>
        <w:ind w:left="720"/>
        <w:jc w:val="center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u w:val="single"/>
          <w:lang w:val="bg-BG"/>
        </w:rPr>
        <w:lastRenderedPageBreak/>
        <w:t xml:space="preserve">8. Разрешаване на спорове по регистрациите </w:t>
      </w:r>
    </w:p>
    <w:p w:rsidR="00683E50" w:rsidRPr="00683E50" w:rsidRDefault="00683E50" w:rsidP="00683E50">
      <w:pPr>
        <w:spacing w:after="0" w:line="240" w:lineRule="auto"/>
        <w:ind w:left="720"/>
        <w:jc w:val="center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76" w:lineRule="auto"/>
        <w:ind w:left="806" w:hanging="446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lang w:val="bg-BG"/>
        </w:rPr>
        <w:t>8.1.</w:t>
      </w:r>
      <w:r w:rsidRPr="00683E50">
        <w:rPr>
          <w:rFonts w:ascii="Times New Roman" w:eastAsia="Calibri" w:hAnsi="Times New Roman" w:cs="Times New Roman"/>
          <w:b/>
          <w:bCs/>
          <w:color w:val="000000" w:themeColor="text1"/>
          <w:sz w:val="14"/>
          <w:szCs w:val="14"/>
          <w:lang w:val="bg-BG"/>
        </w:rPr>
        <w:t xml:space="preserve">   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Споровете за Име между неговия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Регистрант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и трети лица се разрешават чрез арбитраж съгласно приета и публикувана от Регистъра на неговия официален уебсайт Политика за разрешаване на споровете за Имена, основана на актуалния вариант на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), одобрена от ICANN и препоръките на Световната организация по интелектуална собственост, изложени в документа „Добри практики на националните Регистри на Имена за предотвратяване и разрешаване на спорове за интелектуална собственост” (WIPO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ccTLD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Best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Practices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for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the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Prevention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and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of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Intellectual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Property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Disputes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). За неуредените въпроси се прилага българското законодателство.</w:t>
      </w:r>
    </w:p>
    <w:p w:rsidR="00683E50" w:rsidRPr="00683E50" w:rsidRDefault="00683E50" w:rsidP="00683E50">
      <w:pPr>
        <w:spacing w:after="0" w:line="276" w:lineRule="auto"/>
        <w:ind w:left="806" w:hanging="446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lang w:val="bg-BG"/>
        </w:rPr>
        <w:t>8.2.</w:t>
      </w:r>
      <w:r w:rsidRPr="00683E50">
        <w:rPr>
          <w:rFonts w:ascii="Times New Roman" w:eastAsia="Calibri" w:hAnsi="Times New Roman" w:cs="Times New Roman"/>
          <w:b/>
          <w:bCs/>
          <w:color w:val="000000" w:themeColor="text1"/>
          <w:sz w:val="14"/>
          <w:szCs w:val="14"/>
          <w:lang w:val="bg-BG"/>
        </w:rPr>
        <w:t xml:space="preserve">   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Споровете по т.8.1. се разрешават от една или повече независими арбитражни институции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en-GB"/>
        </w:rPr>
        <w:t xml:space="preserve">,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поне една от които да бъде със седалище в България, извършваща своята дейност по начина, описан в предложението на кандидата за регистър, одобрена от Регистъра на базата на обективни, прозрачни и недискриминационни критерии, и посочена на неговия официален уебсайт. Регистърът приема и публикува на своя официален уебсайт Правила за разглеждане на споровете за Имена, основани на актуалния вариант на Правилата за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Rules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for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Domain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Name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), приети от ICANN. Арбитражната институция публикува на своя уебсайт Тарифа на таксите за разглеждане на спорове за Имена.</w:t>
      </w:r>
    </w:p>
    <w:p w:rsidR="00683E50" w:rsidRPr="00683E50" w:rsidRDefault="00683E50" w:rsidP="00683E50">
      <w:pPr>
        <w:spacing w:after="0" w:line="276" w:lineRule="auto"/>
        <w:ind w:left="851" w:hanging="491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lang w:val="bg-BG"/>
        </w:rPr>
        <w:t>8.3.</w:t>
      </w:r>
      <w:r w:rsidRPr="00683E50">
        <w:rPr>
          <w:rFonts w:ascii="Times New Roman" w:eastAsia="Calibri" w:hAnsi="Times New Roman" w:cs="Times New Roman"/>
          <w:b/>
          <w:bCs/>
          <w:color w:val="000000" w:themeColor="text1"/>
          <w:sz w:val="14"/>
          <w:szCs w:val="14"/>
          <w:lang w:val="bg-BG"/>
        </w:rPr>
        <w:t xml:space="preserve">     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Името не може да бъде прехвърляно на друго лице докато арбитражната процедура по т.8.1. е висяща. </w:t>
      </w:r>
    </w:p>
    <w:p w:rsidR="00683E50" w:rsidRPr="00683E50" w:rsidRDefault="00683E50" w:rsidP="00683E50">
      <w:pPr>
        <w:spacing w:after="0" w:line="276" w:lineRule="auto"/>
        <w:ind w:left="806" w:hanging="446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lang w:val="bg-BG"/>
        </w:rPr>
        <w:t>8.4.</w:t>
      </w:r>
      <w:r w:rsidRPr="00683E50">
        <w:rPr>
          <w:rFonts w:ascii="Times New Roman" w:eastAsia="Calibri" w:hAnsi="Times New Roman" w:cs="Times New Roman"/>
          <w:b/>
          <w:bCs/>
          <w:color w:val="000000" w:themeColor="text1"/>
          <w:sz w:val="14"/>
          <w:szCs w:val="14"/>
          <w:lang w:val="bg-BG"/>
        </w:rPr>
        <w:t xml:space="preserve">   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С решението си по спора, арбитражната институция по т.8.2 може да постанови прехвърляне на регистрацията на Името в полза на третото лице - ищец, прекратяване на регистрацията на Името, или да отхвърли иска. Решенията по споровете по т.8.1. са задължителни за страните по спора и за Регистъра, който ги изпълнява без отлагане. В случаите на прехвърляне Името се регистрира на ищеца след подаване от него на нова заявка.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Вместо да прилага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), одобрена от ICANN, проектът на Общи условия предвижда съвсем различни правила – виж чл.9 от Приложение №3 към тях. Наистина, в алинея 2 на същия член 9 се цитират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Правилата за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Rules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for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Domain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Name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), приети от ICANN, 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u w:val="single"/>
          <w:lang w:val="bg-BG"/>
        </w:rPr>
        <w:t>които да се „прилагат с предимство”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. Обръщам внимание обаче, че Правилата на Единната Политика съдържат процесуални норми, а не материални норми. Материалните норми за разрешаване на споровете се съдържат само в самата Единна Политика, към която няма препращане. Също така, не може за едни случаи да се прилага една процедура, а за други 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lastRenderedPageBreak/>
        <w:t>случаи друга, което следва от цитирания по-горе текст, предвиждащ в определени случаи да се прилагат Правилата за Единната политика с предимство. Излиза, че в останалите случаи ще се прилагат други правила, което противоречи на цитирания по-горе чл.82 от Принципите.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С оглед на изложеното, считам, че предложеният проект на Общи условия не отговаря на изискванията на Принципи и изисквания за регистрация на имена в интернет областта .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, и следва да бъде променен, за да се съобрази с тях.</w:t>
      </w:r>
    </w:p>
    <w:p w:rsid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Изпращам за сведение Принципите и изисквания за регистрация на имена в интернет областта .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, в които съм маркирал цитираните по-горе разпоредби.</w:t>
      </w:r>
    </w:p>
    <w:p w:rsidR="004F6B2F" w:rsidRPr="00683E50" w:rsidRDefault="004F6B2F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Поздрави,</w:t>
      </w:r>
    </w:p>
    <w:p w:rsidR="00683E50" w:rsidRPr="00683E50" w:rsidRDefault="00683E50" w:rsidP="00683E50">
      <w:pPr>
        <w:spacing w:before="120" w:after="0" w:line="276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  <w:lang w:val="bg-BG"/>
        </w:rPr>
        <w:t>Асен Алексиев</w:t>
      </w:r>
    </w:p>
    <w:p w:rsidR="00683E50" w:rsidRP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4F6B2F" w:rsidRPr="00683E50" w:rsidRDefault="004F6B2F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683E50" w:rsidRP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</w:rPr>
      </w:pPr>
    </w:p>
    <w:p w:rsidR="00683E50" w:rsidRPr="00683E50" w:rsidRDefault="00683E50" w:rsidP="00683E50">
      <w:pPr>
        <w:spacing w:after="0" w:line="240" w:lineRule="auto"/>
        <w:outlineLvl w:val="0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lastRenderedPageBreak/>
        <w:t>From</w:t>
      </w:r>
      <w:r w:rsidRPr="00683E50">
        <w:rPr>
          <w:rFonts w:ascii="Tahoma" w:eastAsia="Calibri" w:hAnsi="Tahoma" w:cs="Tahoma"/>
          <w:b/>
          <w:bCs/>
          <w:color w:val="000000" w:themeColor="text1"/>
          <w:sz w:val="20"/>
          <w:szCs w:val="20"/>
          <w:highlight w:val="yellow"/>
          <w:lang w:val="bg-BG"/>
        </w:rPr>
        <w:t>: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highlight w:val="yellow"/>
          <w:lang w:val="bg-BG"/>
        </w:rPr>
        <w:t xml:space="preserve"> 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highlight w:val="yellow"/>
        </w:rPr>
        <w:t>Dragomir Slavov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highlight w:val="yellow"/>
          <w:lang w:val="bg-BG"/>
        </w:rPr>
        <w:t xml:space="preserve"> 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lang w:val="bg-BG"/>
        </w:rPr>
        <w:br/>
      </w:r>
      <w:r w:rsidRPr="00683E50">
        <w:rPr>
          <w:rFonts w:ascii="Tahoma" w:eastAsia="Calibri" w:hAnsi="Tahoma" w:cs="Tahoma"/>
          <w:b/>
          <w:bCs/>
          <w:color w:val="000000" w:themeColor="text1"/>
          <w:sz w:val="20"/>
          <w:szCs w:val="20"/>
        </w:rPr>
        <w:t>Sent</w:t>
      </w:r>
      <w:r w:rsidRPr="00683E50">
        <w:rPr>
          <w:rFonts w:ascii="Tahoma" w:eastAsia="Calibri" w:hAnsi="Tahoma" w:cs="Tahoma"/>
          <w:b/>
          <w:bCs/>
          <w:color w:val="000000" w:themeColor="text1"/>
          <w:sz w:val="20"/>
          <w:szCs w:val="20"/>
          <w:lang w:val="bg-BG"/>
        </w:rPr>
        <w:t>: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lang w:val="bg-BG"/>
        </w:rPr>
        <w:t xml:space="preserve"> 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</w:rPr>
        <w:t>Wednesday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lang w:val="bg-BG"/>
        </w:rPr>
        <w:t xml:space="preserve">, 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</w:rPr>
        <w:t>April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lang w:val="bg-BG"/>
        </w:rPr>
        <w:t xml:space="preserve"> 19, 2017 9:16 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</w:rPr>
        <w:t>AM</w:t>
      </w:r>
      <w:r w:rsidRPr="00683E50">
        <w:rPr>
          <w:rFonts w:ascii="Tahoma" w:eastAsia="Calibri" w:hAnsi="Tahoma" w:cs="Tahoma"/>
          <w:color w:val="000000" w:themeColor="text1"/>
          <w:sz w:val="20"/>
          <w:szCs w:val="20"/>
          <w:lang w:val="bg-BG"/>
        </w:rPr>
        <w:br/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683E50">
        <w:rPr>
          <w:rFonts w:ascii="Calibri" w:eastAsia="Calibri" w:hAnsi="Calibri" w:cs="Times New Roman"/>
          <w:color w:val="000000" w:themeColor="text1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Здравейте колеги,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По-долу изказвам нашите съображения относно коментарите и заключенията в писмото на г-н Алексиев: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Както изясних на 08.02.2017г., при стартирането на „ИМЕНА.БГ“ АД като регистър и след това на 28.02.2017 г. на първото заседание на Обществения съвет, са направени промени в проекта за Общи условия в частта 11. ПРАВИЛА И ПРОЦЕДУРА ЗА ОСПОРВАНЕ НА РЕГИСТРАЦИЯТА НА ДОМЕЙН в съответствие с настъпилите промени в българското законодателство, касаещи решаването на спорове от арбитражни съдилища. Тези промени са публикувани в ДВ бр.8 от 2017г. След тези промени в законодателството няма как да се изисква от всеки 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регистрант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„Неотменимо съгласие на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Регистранта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да участва в арбитражни процедури ..“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(виж 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lang w:val="bg-BG"/>
        </w:rPr>
        <w:t>За справка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).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При работата си като регистър на имена в областта .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“ИМЕНА.БГ“ АД е задължено да се съобразява преди всичко с подписаното с МТИТС споразумение.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Направените промени са в съответствие със задължението на “ИМЕНА.БГ“ АД, отразено в чл.3, ал.1, т.5 от това споразумение: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„Чл.3. (1) „ИМЕНА.БГ“ АД се задължава: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..........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5. спазва разработените правила и процедури за функциониране на регистъра, мерки за обезпечаване на сигурността на регистъра, ръководства и процедури за осигуряване на дейността на регистъра, интерфейси, системи, протоколи и правила, в съответствие с Приложение №2 и 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осигурява тяхната актуалност и ефективност по своя инициатива, или с цел спазването на изискване в тази връзка, което може да възникне от задължителна разпоредба на действащото законодателство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, правилата по чл.1, ал.2, т.1, влязъл в сила акт на регулаторен орган и/или мотивирано предложение на Обществения съвет, включително но не само, в областта на защитата на личните данни, информационната сигурност, конкуренцията и зачитането на правата на потребителите;“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Освен това в документа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„Принципи и изисквания за регистрация на имена в интернет областта .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бг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“: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„8.1. Споровете за Име между неговия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Регистрант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и трети лица се разрешават чрез арбитраж съгласно приета и публикувана от Регистъра на неговия официален уебсайт Политика за разрешаване на споровете за Имена, 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основана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на актуалния вариант на Единната политика за разрешаване на спорове за имена (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Uniform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Dispute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Resolution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Policy</w:t>
      </w:r>
      <w:proofErr w:type="spellEnd"/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</w:rPr>
        <w:t>(UDRP)),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одобрена от ICANN ......“ 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е казано, че политиката на регистъра за разрешаване на спорове трябва да бъде 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lang w:val="bg-BG"/>
        </w:rPr>
        <w:t>основана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на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UDRP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, а не 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lang w:val="bg-BG"/>
        </w:rPr>
        <w:t>идентична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и това е отразено в Общите условия в документа „</w:t>
      </w:r>
      <w:r w:rsidRPr="00683E50">
        <w:rPr>
          <w:rFonts w:ascii="Calibri" w:eastAsia="Calibri" w:hAnsi="Calibri" w:cs="Times New Roman"/>
          <w:color w:val="000000" w:themeColor="text1"/>
          <w:sz w:val="20"/>
          <w:szCs w:val="20"/>
          <w:lang w:val="bg-BG"/>
        </w:rPr>
        <w:t>ПРАВИЛНИК ЗА УСТРОЙСТВОТО И ДЕЙНОСТТА НА АРБИТРАЖЕН СЪД ЗА РАЗРЕШАВАНЕ СПОРОВЕ ОТНОСНО ДОМЕЙНИ / АСРСОД /“.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В публикуваните Общи условия този Правилник 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lang w:val="bg-BG"/>
        </w:rPr>
        <w:t>е с непроменен текст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спрямо предложението на „ИМЕНА.БГ“ АД, предоставено при сключването на Споразумението с МТИТС.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Така, че по никакъв начин не може да се приеме твърдението, че Общите условия не отговарят на подписаното с МТИТС споразумение и другите съпътстващи документи и не виждам основание за промяна на Общите условия, поради това твърдение. 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lang w:val="bg-BG"/>
        </w:rPr>
        <w:lastRenderedPageBreak/>
        <w:t>За справка: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Промени в българското законодателство, свързани с работата на арбитражните съдилища: 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u w:val="single"/>
          <w:lang w:val="bg-BG"/>
        </w:rPr>
        <w:t>А. Изменение на ГПК: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„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Арбитражно споразумение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Чл. 19.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(1) (Доп. - ДВ, бр. 8 от 2017 г.) Страните по имуществен спор могат да уговорят той да бъде решен от арбитражен съд, 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освен ако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спорът има за предмет вещни права или владение върху недвижим имот, издръжка или права по трудово правоотношение или 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е спор, по който една от страните е потребител по смисъла на § 13, т. 1 от допълнителните разпоредби на Закона за защита на потребителите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(2) Арбитражът може да има седалище в чужбина, ако една от страните има обичайно местопребиваване, седалище според устройствения си акт или местонахождение на действителното си управление в чужбина.“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u w:val="single"/>
          <w:lang w:val="bg-BG"/>
        </w:rPr>
        <w:t xml:space="preserve">Б. Определение на понятието 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u w:val="single"/>
          <w:lang w:val="bg-BG"/>
        </w:rPr>
        <w:t>ПОТРЕБИТЕЛ</w:t>
      </w: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u w:val="single"/>
          <w:lang w:val="bg-BG"/>
        </w:rPr>
        <w:t xml:space="preserve"> в ЗЗП: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„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§ 13. По смисъла на този закон: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1. "Потребител" е всяко физическо лице, което придобива стоки или ползва услуги, които не са предназначени за извършване на търговска или професионална дейност, и всяко физическо лице, което като страна по договор по този закон действа извън рамките на своята търговска или професионална дейност.“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  <w:u w:val="single"/>
          <w:lang w:val="bg-BG"/>
        </w:rPr>
        <w:t>В. Изменение на ЗМТА: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„</w:t>
      </w:r>
      <w:r w:rsidRPr="00683E50">
        <w:rPr>
          <w:rFonts w:ascii="Calibri" w:eastAsia="Calibri" w:hAnsi="Calibri" w:cs="Times New Roman"/>
          <w:b/>
          <w:bCs/>
          <w:i/>
          <w:iCs/>
          <w:color w:val="000000" w:themeColor="text1"/>
          <w:sz w:val="24"/>
          <w:szCs w:val="24"/>
          <w:lang w:val="bg-BG"/>
        </w:rPr>
        <w:t>Чл. 53.</w:t>
      </w: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 xml:space="preserve"> (Нов - ДВ, бр. 8 от 2017 г.) (1) Арбитър, който постанови решение по спор, в който едната от страните е потребител по смисъла на § 13, т. 1 от допълнителните разпоредби на Закона за защита на потребителите, се наказва с глоба от 500 до 2500 лв. На юридическо лице, което извърши нарушението по изречение първо, се налага имуществена санкция в размер 5000 лв.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i/>
          <w:iCs/>
          <w:color w:val="000000" w:themeColor="text1"/>
          <w:sz w:val="24"/>
          <w:szCs w:val="24"/>
          <w:lang w:val="bg-BG"/>
        </w:rPr>
        <w:t>(2) При повторно нарушение глобата или имуществената санкция е в трикратен размер.“</w:t>
      </w: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 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Поздрави,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highlight w:val="yellow"/>
          <w:lang w:val="bg-BG"/>
        </w:rPr>
        <w:t>Драгомир Славов</w:t>
      </w:r>
    </w:p>
    <w:p w:rsidR="00683E50" w:rsidRPr="00683E50" w:rsidRDefault="00683E50" w:rsidP="00683E50">
      <w:pPr>
        <w:spacing w:after="0" w:line="24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Управител на "</w:t>
      </w:r>
      <w:proofErr w:type="spellStart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Регистър.бг</w:t>
      </w:r>
      <w:proofErr w:type="spellEnd"/>
      <w:r w:rsidRPr="00683E50">
        <w:rPr>
          <w:rFonts w:ascii="Calibri" w:eastAsia="Calibri" w:hAnsi="Calibri" w:cs="Times New Roman"/>
          <w:color w:val="000000" w:themeColor="text1"/>
          <w:sz w:val="24"/>
          <w:szCs w:val="24"/>
          <w:lang w:val="bg-BG"/>
        </w:rPr>
        <w:t>" ООД</w:t>
      </w: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F6B2F" w:rsidRDefault="004F6B2F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683E50" w:rsidRPr="00403571" w:rsidRDefault="00683E50" w:rsidP="004F6B2F">
      <w:pPr>
        <w:spacing w:after="0" w:line="240" w:lineRule="auto"/>
        <w:outlineLvl w:val="0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b/>
          <w:bCs/>
          <w:highlight w:val="yellow"/>
        </w:rPr>
        <w:lastRenderedPageBreak/>
        <w:t>From:</w:t>
      </w:r>
      <w:r w:rsidRPr="00403571">
        <w:rPr>
          <w:rFonts w:ascii="Calibri" w:eastAsia="Calibri" w:hAnsi="Calibri" w:cs="Times New Roman"/>
          <w:highlight w:val="yellow"/>
        </w:rPr>
        <w:t xml:space="preserve"> Assen Alexiev </w:t>
      </w:r>
      <w:r w:rsidRPr="00403571">
        <w:rPr>
          <w:rFonts w:ascii="Calibri" w:eastAsia="Calibri" w:hAnsi="Calibri" w:cs="Times New Roman"/>
        </w:rPr>
        <w:br/>
      </w:r>
      <w:r w:rsidRPr="00403571">
        <w:rPr>
          <w:rFonts w:ascii="Calibri" w:eastAsia="Calibri" w:hAnsi="Calibri" w:cs="Times New Roman"/>
          <w:b/>
          <w:bCs/>
        </w:rPr>
        <w:t>Sent:</w:t>
      </w:r>
      <w:r w:rsidRPr="00403571">
        <w:rPr>
          <w:rFonts w:ascii="Calibri" w:eastAsia="Calibri" w:hAnsi="Calibri" w:cs="Times New Roman"/>
        </w:rPr>
        <w:t xml:space="preserve"> 22 </w:t>
      </w:r>
      <w:proofErr w:type="gramStart"/>
      <w:r w:rsidRPr="00403571">
        <w:rPr>
          <w:rFonts w:ascii="Calibri" w:eastAsia="Calibri" w:hAnsi="Calibri" w:cs="Times New Roman"/>
        </w:rPr>
        <w:t>May,</w:t>
      </w:r>
      <w:proofErr w:type="gramEnd"/>
      <w:r w:rsidRPr="00403571">
        <w:rPr>
          <w:rFonts w:ascii="Calibri" w:eastAsia="Calibri" w:hAnsi="Calibri" w:cs="Times New Roman"/>
        </w:rPr>
        <w:t xml:space="preserve"> 2017 18:19</w:t>
      </w:r>
      <w:r w:rsidRPr="00403571">
        <w:rPr>
          <w:rFonts w:ascii="Calibri" w:eastAsia="Calibri" w:hAnsi="Calibri" w:cs="Times New Roman"/>
        </w:rPr>
        <w:br/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Здравейте,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Във връзка с уточненията, направени от г-н Славов, бих искал да обърна Вашето внимание на следното.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Измененията на ЗМТА и на ГПК се отнасят само до спорове, по които една от страните е потребител. Както е добре известно, тези изменения бяха направени по инициатива на Омбудсмана г-жа Мая Манолова с цел да се пресекат злоупотребите с правата на потребителите в споровете им с доставчици на комунални услуги, потребителски кредити и други подобни. 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Тези изменения нямат никакво отношение към споровете между </w:t>
      </w:r>
      <w:proofErr w:type="spellStart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регистранти</w:t>
      </w:r>
      <w:proofErr w:type="spellEnd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 на имена на домейн и трети лица, засегнати от регистрираното име на домейн. По тези спорове нито една от страните не е потребител, защото </w:t>
      </w:r>
      <w:bookmarkStart w:id="0" w:name="_MailEndCompose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между страните по спора няма никакъв договор, и между тях не се извършва доставка на стоки или услуги.</w:t>
      </w:r>
      <w:bookmarkEnd w:id="0"/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Освен това, коментарите на г-н Славов (дори да</w:t>
      </w:r>
      <w:bookmarkStart w:id="1" w:name="_GoBack"/>
      <w:bookmarkEnd w:id="1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 имаха основание, каквото нямат) се отнасят само до физически лица, регистрирали име на домейн, и не се отнасят до юридическите лица.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Поради изложеното, няма пречка споровете между </w:t>
      </w:r>
      <w:proofErr w:type="spellStart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регистранти</w:t>
      </w:r>
      <w:proofErr w:type="spellEnd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 xml:space="preserve"> на имена на домейн и трети лица, засегнати от регистрираното име на домейн, да се разглеждат по Единната политика </w:t>
      </w:r>
      <w:r w:rsidRPr="00403571">
        <w:rPr>
          <w:rFonts w:ascii="Calibri" w:eastAsia="Calibri" w:hAnsi="Calibri" w:cs="Times New Roman"/>
          <w:color w:val="1F497D"/>
          <w:sz w:val="24"/>
          <w:szCs w:val="24"/>
        </w:rPr>
        <w:t>UDRP</w:t>
      </w: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, както това е предвидено в Общите условия за регистрация и поддръжка на имена в интернет областта .</w:t>
      </w:r>
      <w:proofErr w:type="spellStart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бг</w:t>
      </w:r>
      <w:proofErr w:type="spellEnd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.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В тази връзка, твърденията на г-н Славов нямат никакво основание, и документът ПРАВИЛА И ПРОЦЕДУРА ЗА ОСПОРВАНЕ НА РЕГИСТРАЦИЯТА НА ДОМЕЙН, разработени от „ИМЕНА.БГ”, не отговаря на Общите условия за регистрация и поддръжка на имена в интернет областта .</w:t>
      </w:r>
      <w:proofErr w:type="spellStart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бг</w:t>
      </w:r>
      <w:proofErr w:type="spellEnd"/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, по причините, изложени в предходния ми имейл.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Поздрави,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lang w:val="bg-BG"/>
        </w:rPr>
        <w:t> </w:t>
      </w:r>
    </w:p>
    <w:p w:rsidR="00683E50" w:rsidRPr="00403571" w:rsidRDefault="00683E50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1F497D"/>
          <w:sz w:val="24"/>
          <w:szCs w:val="24"/>
          <w:highlight w:val="yellow"/>
          <w:lang w:val="bg-BG"/>
        </w:rPr>
        <w:t>Асен Алексиев</w:t>
      </w: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683E50" w:rsidRDefault="00683E50" w:rsidP="00403571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highlight w:val="yellow"/>
        </w:rPr>
      </w:pPr>
    </w:p>
    <w:p w:rsid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1F497D"/>
          <w:lang w:val="bg-BG"/>
        </w:rPr>
      </w:pPr>
    </w:p>
    <w:p w:rsid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1F497D"/>
          <w:lang w:val="bg-BG"/>
        </w:rPr>
      </w:pPr>
    </w:p>
    <w:p w:rsid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1F497D"/>
          <w:lang w:val="bg-BG"/>
        </w:rPr>
      </w:pPr>
    </w:p>
    <w:p w:rsidR="00403571" w:rsidRP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000000"/>
        </w:rPr>
      </w:pPr>
    </w:p>
    <w:p w:rsidR="00403571" w:rsidRP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212121"/>
          <w:sz w:val="24"/>
          <w:szCs w:val="24"/>
        </w:rPr>
      </w:pPr>
      <w:r w:rsidRPr="00403571">
        <w:rPr>
          <w:rFonts w:ascii="Calibri" w:eastAsia="Calibri" w:hAnsi="Calibri" w:cs="Times New Roman"/>
          <w:color w:val="212121"/>
          <w:sz w:val="24"/>
          <w:szCs w:val="24"/>
          <w:lang w:val="bg-BG"/>
        </w:rPr>
        <w:t> </w:t>
      </w:r>
    </w:p>
    <w:p w:rsid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000000"/>
          <w:lang w:val="bg-BG"/>
        </w:rPr>
      </w:pPr>
    </w:p>
    <w:p w:rsidR="00403571" w:rsidRDefault="00403571" w:rsidP="00403571">
      <w:pPr>
        <w:spacing w:after="0" w:line="240" w:lineRule="auto"/>
        <w:rPr>
          <w:rFonts w:ascii="Calibri" w:eastAsia="Calibri" w:hAnsi="Calibri" w:cs="Times New Roman"/>
          <w:color w:val="000000"/>
          <w:lang w:val="bg-BG"/>
        </w:rPr>
      </w:pPr>
    </w:p>
    <w:p w:rsidR="00403571" w:rsidRPr="00403571" w:rsidRDefault="00403571" w:rsidP="00683E50">
      <w:pPr>
        <w:spacing w:after="0" w:line="240" w:lineRule="auto"/>
        <w:rPr>
          <w:rFonts w:ascii="Calibri" w:eastAsia="Calibri" w:hAnsi="Calibri" w:cs="Times New Roman"/>
          <w:color w:val="000000"/>
        </w:rPr>
      </w:pPr>
      <w:r w:rsidRPr="00403571">
        <w:rPr>
          <w:rFonts w:ascii="Calibri" w:eastAsia="Calibri" w:hAnsi="Calibri" w:cs="Times New Roman"/>
          <w:color w:val="000000"/>
          <w:lang w:val="bg-BG"/>
        </w:rPr>
        <w:br/>
      </w:r>
    </w:p>
    <w:p w:rsidR="005C1564" w:rsidRDefault="004F6B2F"/>
    <w:sectPr w:rsidR="005C1564" w:rsidSect="004F6B2F">
      <w:pgSz w:w="12240" w:h="15840"/>
      <w:pgMar w:top="1080" w:right="1417" w:bottom="54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71"/>
    <w:rsid w:val="00403571"/>
    <w:rsid w:val="004F6B2F"/>
    <w:rsid w:val="005E02F9"/>
    <w:rsid w:val="00683E50"/>
    <w:rsid w:val="00DB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25FDA-AF84-45FA-9C80-7CC615A8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6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Denitsa Duncheva</dc:creator>
  <cp:keywords/>
  <dc:description/>
  <cp:lastModifiedBy>Denitsa Duncheva</cp:lastModifiedBy>
  <cp:revision>3</cp:revision>
  <dcterms:created xsi:type="dcterms:W3CDTF">2017-05-29T12:52:00Z</dcterms:created>
  <dcterms:modified xsi:type="dcterms:W3CDTF">2017-06-12T08:07:00Z</dcterms:modified>
</cp:coreProperties>
</file>