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577"/>
        <w:tblW w:w="14468" w:type="dxa"/>
        <w:tblLook w:val="04A0" w:firstRow="1" w:lastRow="0" w:firstColumn="1" w:lastColumn="0" w:noHBand="0" w:noVBand="1"/>
      </w:tblPr>
      <w:tblGrid>
        <w:gridCol w:w="498"/>
        <w:gridCol w:w="1612"/>
        <w:gridCol w:w="5936"/>
        <w:gridCol w:w="6422"/>
      </w:tblGrid>
      <w:tr w:rsidR="005B6893" w:rsidRPr="005B6893" w:rsidTr="000F1E78">
        <w:tc>
          <w:tcPr>
            <w:tcW w:w="14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3" w:rsidRPr="00F600EA" w:rsidRDefault="005B6893" w:rsidP="00BC55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600EA">
              <w:rPr>
                <w:b/>
                <w:color w:val="FF0000"/>
                <w:sz w:val="24"/>
                <w:szCs w:val="24"/>
              </w:rPr>
              <w:t>Разяснени</w:t>
            </w:r>
            <w:r w:rsidR="00BC5571" w:rsidRPr="00F600EA">
              <w:rPr>
                <w:b/>
                <w:color w:val="FF0000"/>
                <w:sz w:val="24"/>
                <w:szCs w:val="24"/>
              </w:rPr>
              <w:t>е</w:t>
            </w:r>
            <w:r w:rsidRPr="00F600EA">
              <w:rPr>
                <w:b/>
                <w:color w:val="FF0000"/>
                <w:sz w:val="24"/>
                <w:szCs w:val="24"/>
              </w:rPr>
              <w:t xml:space="preserve"> № </w:t>
            </w:r>
            <w:r w:rsidR="00F83609">
              <w:rPr>
                <w:b/>
                <w:color w:val="FF0000"/>
                <w:sz w:val="24"/>
                <w:szCs w:val="24"/>
              </w:rPr>
              <w:t>2</w:t>
            </w:r>
            <w:r w:rsidRPr="00F600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83609">
              <w:rPr>
                <w:b/>
                <w:color w:val="FF0000"/>
                <w:sz w:val="24"/>
                <w:szCs w:val="24"/>
              </w:rPr>
              <w:t>на въпроси от 14</w:t>
            </w:r>
            <w:r w:rsidR="0036045B" w:rsidRPr="00F600EA">
              <w:rPr>
                <w:b/>
                <w:color w:val="FF0000"/>
                <w:sz w:val="24"/>
                <w:szCs w:val="24"/>
              </w:rPr>
              <w:t xml:space="preserve"> до </w:t>
            </w:r>
            <w:r w:rsidR="00121315">
              <w:rPr>
                <w:b/>
                <w:color w:val="FF0000"/>
                <w:sz w:val="24"/>
                <w:szCs w:val="24"/>
              </w:rPr>
              <w:t>17</w:t>
            </w:r>
          </w:p>
          <w:p w:rsidR="005B6893" w:rsidRPr="005B6893" w:rsidRDefault="005B6893" w:rsidP="00BC5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165" w:rsidRPr="001F138F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№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 xml:space="preserve">Дата на </w:t>
            </w:r>
            <w:r w:rsidR="0036045B">
              <w:rPr>
                <w:b/>
              </w:rPr>
              <w:t xml:space="preserve">получаване на </w:t>
            </w:r>
            <w:r w:rsidRPr="001F138F">
              <w:rPr>
                <w:b/>
              </w:rPr>
              <w:t>въпрос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Въпрос</w:t>
            </w:r>
          </w:p>
        </w:tc>
        <w:tc>
          <w:tcPr>
            <w:tcW w:w="6422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Отговор</w:t>
            </w:r>
            <w:r w:rsidR="00BF7DCD">
              <w:rPr>
                <w:b/>
              </w:rPr>
              <w:t xml:space="preserve"> от МТИТС</w:t>
            </w:r>
          </w:p>
        </w:tc>
      </w:tr>
      <w:tr w:rsidR="00F83609" w:rsidRPr="00573C90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Default="00F83609" w:rsidP="00D862E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Default="00F83609" w:rsidP="00D862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Pr="00F83609" w:rsidRDefault="00F83609" w:rsidP="00F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връзка с отчитането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разход</w:t>
            </w:r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ооправдателните</w:t>
            </w:r>
            <w:proofErr w:type="spellEnd"/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документи в ИСУН - тъй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на етап отчитане ща бъдат представени голям брой фактури, </w:t>
            </w:r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възможно ли е в ИСУН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бъдат отчетени на един ред във финансовия отчет т. 4 Опис документи? В противен случай ще бъдат генерирани не по-малко от 200 реда фактури и то само за този разход.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Pr="00F83609" w:rsidRDefault="00F83609" w:rsidP="00D8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секция „Въвеждане на финален финансов отчет към пакет отчетни документи“ в Инструкция за бенефициентите относно отчитане на договорите за безвъзмездна финансова помощ, сключени по процедура </w:t>
            </w: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BG16RFOP002-2.091</w:t>
            </w:r>
            <w:r w:rsidR="00A34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описано следното: </w:t>
            </w:r>
            <w:r w:rsidR="00A34BF2" w:rsidRPr="00A34B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r w:rsidR="00A34BF2" w:rsidRPr="00A34BF2">
              <w:rPr>
                <w:rFonts w:ascii="Times New Roman" w:hAnsi="Times New Roman" w:cs="Times New Roman"/>
                <w:i/>
              </w:rPr>
              <w:t xml:space="preserve">Всеки един </w:t>
            </w:r>
            <w:proofErr w:type="spellStart"/>
            <w:r w:rsidR="00A34BF2" w:rsidRPr="00A34BF2">
              <w:rPr>
                <w:rFonts w:ascii="Times New Roman" w:hAnsi="Times New Roman" w:cs="Times New Roman"/>
                <w:i/>
              </w:rPr>
              <w:t>разходооправдателен</w:t>
            </w:r>
            <w:proofErr w:type="spellEnd"/>
            <w:r w:rsidR="00A34BF2" w:rsidRPr="00A34BF2">
              <w:rPr>
                <w:rFonts w:ascii="Times New Roman" w:hAnsi="Times New Roman" w:cs="Times New Roman"/>
                <w:i/>
              </w:rPr>
              <w:t xml:space="preserve"> документ (РОД) следва да бъде добавен към финансовия отчет и описан.“  </w:t>
            </w:r>
            <w:r w:rsidR="00A34BF2">
              <w:rPr>
                <w:rFonts w:ascii="Times New Roman" w:hAnsi="Times New Roman" w:cs="Times New Roman"/>
                <w:b/>
                <w:i/>
              </w:rPr>
              <w:t>т.е. не се приема отчитане на РОД чрез групирането им по различен признак.</w:t>
            </w:r>
          </w:p>
        </w:tc>
      </w:tr>
      <w:tr w:rsidR="00F83609" w:rsidRPr="00573C90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Default="00F83609" w:rsidP="00D862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Default="00F83609" w:rsidP="00D862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9" w:rsidRPr="00F83609" w:rsidRDefault="00F83609" w:rsidP="00F836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отношение на счетоводното отчитане - за разходите, които са направени в периода от 01.02.2020 до отваряне на процедурата може ли разходите за бъдат </w:t>
            </w:r>
            <w:proofErr w:type="spellStart"/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преосчетоводени</w:t>
            </w:r>
            <w:proofErr w:type="spellEnd"/>
            <w:r w:rsidRPr="00F8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специално открита сметка по проекта 619 - Разходи по проект BG16RFOP002-2.091?</w:t>
            </w:r>
          </w:p>
          <w:p w:rsidR="00F83609" w:rsidRPr="00F83609" w:rsidRDefault="00F83609" w:rsidP="00F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F2" w:rsidRDefault="00A34BF2" w:rsidP="00A34BF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т. 5 „Финансово изпълнение  на договора за безвъзмездна финансова помощ“ </w:t>
            </w:r>
            <w:r>
              <w:rPr>
                <w:rFonts w:ascii="Times New Roman" w:hAnsi="Times New Roman"/>
                <w:bCs/>
                <w:szCs w:val="24"/>
              </w:rPr>
              <w:t xml:space="preserve">от Ръководството за изпълнение на договори, </w:t>
            </w:r>
            <w:r>
              <w:rPr>
                <w:rFonts w:ascii="Times New Roman" w:hAnsi="Times New Roman"/>
                <w:szCs w:val="24"/>
              </w:rPr>
              <w:t xml:space="preserve">сключени по процедура </w:t>
            </w:r>
            <w:r w:rsidRPr="00FF2E9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BG16RFOP002-2.091 е посочено следното: „</w:t>
            </w:r>
            <w:r w:rsidRPr="007837DD">
              <w:rPr>
                <w:rFonts w:ascii="Times New Roman" w:hAnsi="Times New Roman"/>
                <w:szCs w:val="24"/>
              </w:rPr>
              <w:t xml:space="preserve">Разходите, извършени в периода от </w:t>
            </w:r>
            <w:r w:rsidRPr="00B46ACE">
              <w:rPr>
                <w:rFonts w:ascii="Times New Roman" w:hAnsi="Times New Roman"/>
                <w:b/>
                <w:szCs w:val="24"/>
              </w:rPr>
              <w:t>01.02.2020 г.</w:t>
            </w:r>
            <w:r w:rsidRPr="007837DD">
              <w:rPr>
                <w:rFonts w:ascii="Times New Roman" w:hAnsi="Times New Roman"/>
                <w:szCs w:val="24"/>
              </w:rPr>
              <w:t xml:space="preserve"> до датата на влизане в сила на </w:t>
            </w:r>
            <w:r>
              <w:rPr>
                <w:rFonts w:ascii="Times New Roman" w:hAnsi="Times New Roman"/>
                <w:szCs w:val="24"/>
              </w:rPr>
              <w:t>ДБФП</w:t>
            </w:r>
            <w:r w:rsidRPr="007837DD">
              <w:rPr>
                <w:rFonts w:ascii="Times New Roman" w:hAnsi="Times New Roman"/>
                <w:szCs w:val="24"/>
              </w:rPr>
              <w:t>, следва да бъдат прехвърлени/осчетоводени в с</w:t>
            </w:r>
            <w:r>
              <w:rPr>
                <w:rFonts w:ascii="Times New Roman" w:hAnsi="Times New Roman"/>
                <w:szCs w:val="24"/>
              </w:rPr>
              <w:t>метките, обособени по проекта“.</w:t>
            </w:r>
          </w:p>
          <w:p w:rsidR="00F83609" w:rsidRPr="00A34BF2" w:rsidRDefault="00F83609" w:rsidP="00A3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15" w:rsidRPr="00573C90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D862E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D862E7">
            <w:pPr>
              <w:jc w:val="center"/>
              <w:rPr>
                <w:b/>
              </w:rPr>
            </w:pPr>
            <w:r>
              <w:rPr>
                <w:b/>
              </w:rPr>
              <w:t>10.01.2021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Pr="00121315" w:rsidRDefault="00121315" w:rsidP="001213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отношение на разходите за наем:</w:t>
            </w:r>
          </w:p>
          <w:p w:rsidR="00121315" w:rsidRDefault="00121315" w:rsidP="001213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възможно ли е разходите за наем за периода от 01.02.2020</w:t>
            </w:r>
            <w:r w:rsidR="00F4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21.10.</w:t>
            </w:r>
            <w:r w:rsidR="00F4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020 г. да надвишават 30 000 лв. </w:t>
            </w: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 ДДС и за този разход да бъдат предоставени 2 съпоставими оферти?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1315" w:rsidRDefault="00121315" w:rsidP="001213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315" w:rsidRPr="00F83609" w:rsidRDefault="00121315" w:rsidP="001213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възможно ли е разходите за наем за периода от 21.10.2020 до края на изпълнението на проекта да надвишават 30 000 лв. без ДДС и за този разход да бъдат предоставени 2 съпоставими оферти?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A34BF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121315">
              <w:rPr>
                <w:rFonts w:ascii="Times New Roman" w:hAnsi="Times New Roman"/>
                <w:szCs w:val="24"/>
              </w:rPr>
              <w:lastRenderedPageBreak/>
              <w:t xml:space="preserve">За разходи за наем не се прилага изискванията за провеждане на процедура с публична покана съответно не се прилага изискването за доказване на пазарна цена. Същото е </w:t>
            </w:r>
            <w:r w:rsidRPr="00121315">
              <w:rPr>
                <w:rFonts w:ascii="Times New Roman" w:hAnsi="Times New Roman"/>
                <w:szCs w:val="24"/>
              </w:rPr>
              <w:lastRenderedPageBreak/>
              <w:t>посочено на стр.18 от УСЛОВИЯ ЗА КАНДИДАТСТВАНЕ И УСЛОВИЯ</w:t>
            </w:r>
            <w:r>
              <w:rPr>
                <w:rFonts w:ascii="Times New Roman" w:hAnsi="Times New Roman"/>
                <w:szCs w:val="24"/>
              </w:rPr>
              <w:t xml:space="preserve"> ЗА ИЗПЪЛНЕНИЕ;</w:t>
            </w:r>
          </w:p>
          <w:p w:rsidR="00121315" w:rsidRDefault="00121315" w:rsidP="00A34BF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121315">
              <w:rPr>
                <w:rFonts w:ascii="Times New Roman" w:hAnsi="Times New Roman"/>
                <w:szCs w:val="24"/>
              </w:rPr>
              <w:t>Редът за избор на изпълнител съгласно разпоредбите на ЗУСЕСИФ и Постановление  № 160 на Министерския съвет от 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(</w:t>
            </w:r>
            <w:proofErr w:type="spellStart"/>
            <w:r w:rsidRPr="00121315">
              <w:rPr>
                <w:rFonts w:ascii="Times New Roman" w:hAnsi="Times New Roman"/>
                <w:szCs w:val="24"/>
              </w:rPr>
              <w:t>обн</w:t>
            </w:r>
            <w:proofErr w:type="spellEnd"/>
            <w:r w:rsidRPr="00121315">
              <w:rPr>
                <w:rFonts w:ascii="Times New Roman" w:hAnsi="Times New Roman"/>
                <w:szCs w:val="24"/>
              </w:rPr>
              <w:t>., ДВ, бр. 52 от 2016 г.), е приложим за крайните ползватели на помощта за разходите, извършени в периода след обявяване на схемата. Изискването не се прилага за разходите за нае</w:t>
            </w:r>
            <w:r>
              <w:rPr>
                <w:rFonts w:ascii="Times New Roman" w:hAnsi="Times New Roman"/>
                <w:szCs w:val="24"/>
              </w:rPr>
              <w:t xml:space="preserve">м и възнаграждения – стр.18 от </w:t>
            </w:r>
            <w:r w:rsidRPr="00121315">
              <w:rPr>
                <w:rFonts w:ascii="Times New Roman" w:hAnsi="Times New Roman"/>
                <w:szCs w:val="24"/>
              </w:rPr>
              <w:t xml:space="preserve">УСЛОВИЯ ЗА КАНДИДАТСТВАНЕ И УСЛОВИЯ ЗА ИЗПЪЛНЕНИЕ.  </w:t>
            </w:r>
          </w:p>
        </w:tc>
      </w:tr>
      <w:tr w:rsidR="00121315" w:rsidRPr="00573C90" w:rsidTr="00F83609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D862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D862E7">
            <w:pPr>
              <w:jc w:val="center"/>
              <w:rPr>
                <w:b/>
              </w:rPr>
            </w:pPr>
            <w:r>
              <w:rPr>
                <w:b/>
              </w:rPr>
              <w:t>10.01.2021 г.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F836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Разходите направени за периода от 01.02.2020</w:t>
            </w:r>
            <w:r w:rsidR="00F4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21.10.</w:t>
            </w:r>
            <w:r w:rsidR="00F4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 г.(например разходите за горива) могат ли да надвишават 30 000 лв. без ДДС и за този разход да бъдат предоставени 2 съпоставими оферти?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1315" w:rsidRPr="00F83609" w:rsidRDefault="00121315" w:rsidP="00F836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15" w:rsidRDefault="00121315" w:rsidP="00A34BF2">
            <w:pPr>
              <w:pStyle w:val="Bodyall"/>
              <w:numPr>
                <w:ilvl w:val="0"/>
                <w:numId w:val="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121315">
              <w:rPr>
                <w:rFonts w:ascii="Times New Roman" w:hAnsi="Times New Roman"/>
                <w:szCs w:val="24"/>
              </w:rPr>
              <w:t>За разходите, напра</w:t>
            </w:r>
            <w:r w:rsidR="00F412A4">
              <w:rPr>
                <w:rFonts w:ascii="Times New Roman" w:hAnsi="Times New Roman"/>
                <w:szCs w:val="24"/>
              </w:rPr>
              <w:t xml:space="preserve">вени в периода от 01.02.2020 г. </w:t>
            </w:r>
            <w:r w:rsidRPr="00121315">
              <w:rPr>
                <w:rFonts w:ascii="Times New Roman" w:hAnsi="Times New Roman"/>
                <w:szCs w:val="24"/>
              </w:rPr>
              <w:t>до обявяването на процедурата редът за избор на изпълнител съгласно разпоредбите на ЗУСЕСИФ и ПМС № 160/2016 г. НЕ СЕ ПРИЛАГА. Допълнително, за да са допустими направените разходи, цената за тях следва да е пазарна, за доказване което при отчитане крайните ползватели на помощта следва да представят не по-малко от 2 (две) съпоставими оферти, пазарно проучване или друго доказателство (че цената е пазарна) за съответната отчетената услуга/ доставка на суровини, материали или консумативи.</w:t>
            </w:r>
          </w:p>
        </w:tc>
      </w:tr>
    </w:tbl>
    <w:p w:rsidR="00D847E3" w:rsidRDefault="00D847E3" w:rsidP="006903BC"/>
    <w:sectPr w:rsidR="00D847E3" w:rsidSect="005B6893">
      <w:headerReference w:type="default" r:id="rId7"/>
      <w:footerReference w:type="default" r:id="rId8"/>
      <w:pgSz w:w="16838" w:h="11906" w:orient="landscape"/>
      <w:pgMar w:top="2705" w:right="678" w:bottom="1417" w:left="1417" w:header="284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55" w:rsidRDefault="00383355" w:rsidP="001F138F">
      <w:pPr>
        <w:spacing w:after="0" w:line="240" w:lineRule="auto"/>
      </w:pPr>
      <w:r>
        <w:separator/>
      </w:r>
    </w:p>
  </w:endnote>
  <w:endnote w:type="continuationSeparator" w:id="0">
    <w:p w:rsidR="00383355" w:rsidRDefault="00383355" w:rsidP="001F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3" w:rsidRPr="006049C7" w:rsidRDefault="005B6893" w:rsidP="005B6893">
    <w:pPr>
      <w:pStyle w:val="Footer"/>
      <w:jc w:val="both"/>
      <w:rPr>
        <w:sz w:val="24"/>
        <w:szCs w:val="24"/>
      </w:rPr>
    </w:pPr>
    <w:r w:rsidRPr="005B6893">
      <w:rPr>
        <w:b/>
        <w:sz w:val="20"/>
        <w:szCs w:val="20"/>
      </w:rPr>
      <w:t>Схемата BG16RFOP002-2.091 е обявена в изпълнение на процедура чрез директно предоставяне BG16RFOP002-2.079 „Подкрепа за МСП, извършващи автобусни превози, за преодоляване на икономическите последствия от COVID-19 чрез прилагане на схема за подпомагане от Министерството на транспорта, информационните технологии и съобщенията (МТИТС)“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049C7">
      <w:rPr>
        <w:sz w:val="24"/>
        <w:szCs w:val="24"/>
      </w:rPr>
      <w:t xml:space="preserve">стр. </w:t>
    </w:r>
    <w:sdt>
      <w:sdtPr>
        <w:rPr>
          <w:sz w:val="24"/>
          <w:szCs w:val="24"/>
        </w:rPr>
        <w:id w:val="-1042741199"/>
        <w:docPartObj>
          <w:docPartGallery w:val="Page Numbers (Bottom of Page)"/>
          <w:docPartUnique/>
        </w:docPartObj>
      </w:sdtPr>
      <w:sdtEndPr/>
      <w:sdtContent>
        <w:r w:rsidRPr="006049C7">
          <w:rPr>
            <w:sz w:val="24"/>
            <w:szCs w:val="24"/>
          </w:rPr>
          <w:fldChar w:fldCharType="begin"/>
        </w:r>
        <w:r w:rsidRPr="006049C7">
          <w:rPr>
            <w:sz w:val="24"/>
            <w:szCs w:val="24"/>
          </w:rPr>
          <w:instrText>PAGE   \* MERGEFORMAT</w:instrText>
        </w:r>
        <w:r w:rsidRPr="006049C7">
          <w:rPr>
            <w:sz w:val="24"/>
            <w:szCs w:val="24"/>
          </w:rPr>
          <w:fldChar w:fldCharType="separate"/>
        </w:r>
        <w:r w:rsidR="00DB4E51">
          <w:rPr>
            <w:noProof/>
            <w:sz w:val="24"/>
            <w:szCs w:val="24"/>
          </w:rPr>
          <w:t>3</w:t>
        </w:r>
        <w:r w:rsidRPr="006049C7">
          <w:rPr>
            <w:sz w:val="24"/>
            <w:szCs w:val="24"/>
          </w:rPr>
          <w:fldChar w:fldCharType="end"/>
        </w:r>
      </w:sdtContent>
    </w:sdt>
  </w:p>
  <w:p w:rsidR="009410AD" w:rsidRDefault="0094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55" w:rsidRDefault="00383355" w:rsidP="001F138F">
      <w:pPr>
        <w:spacing w:after="0" w:line="240" w:lineRule="auto"/>
      </w:pPr>
      <w:r>
        <w:separator/>
      </w:r>
    </w:p>
  </w:footnote>
  <w:footnote w:type="continuationSeparator" w:id="0">
    <w:p w:rsidR="00383355" w:rsidRDefault="00383355" w:rsidP="001F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8F" w:rsidRDefault="001F138F" w:rsidP="001F138F">
    <w:pPr>
      <w:pStyle w:val="Header"/>
      <w:tabs>
        <w:tab w:val="clear" w:pos="9072"/>
      </w:tabs>
    </w:pPr>
    <w:r>
      <w:tab/>
    </w:r>
    <w:r>
      <w:tab/>
    </w:r>
  </w:p>
  <w:p w:rsidR="001F138F" w:rsidRPr="00356B86" w:rsidRDefault="001F138F" w:rsidP="001F138F">
    <w:pPr>
      <w:tabs>
        <w:tab w:val="center" w:pos="9498"/>
      </w:tabs>
      <w:spacing w:after="0" w:line="240" w:lineRule="auto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D6A1" wp14:editId="0165B3E9">
              <wp:simplePos x="0" y="0"/>
              <wp:positionH relativeFrom="column">
                <wp:posOffset>1577340</wp:posOffset>
              </wp:positionH>
              <wp:positionV relativeFrom="paragraph">
                <wp:posOffset>10160</wp:posOffset>
              </wp:positionV>
              <wp:extent cx="5028565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38F" w:rsidRPr="001F138F" w:rsidRDefault="0036045B" w:rsidP="001F138F">
                          <w:pPr>
                            <w:shd w:val="clear" w:color="auto" w:fill="FFFFFF" w:themeFill="background1"/>
                            <w:spacing w:after="24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>ПОСТЪПИЛИ ВЪПРОСИ ОТ</w:t>
                          </w:r>
                          <w:r w:rsidR="00F87713">
                            <w:t xml:space="preserve"> БЕНЕФИЦИЕНТИ</w:t>
                          </w:r>
                          <w:r>
                            <w:t xml:space="preserve"> И РАЗЯСНЕНИЯ ПО ТЯХ ПО ПРОЦЕДУРА </w:t>
                          </w:r>
                          <w:r w:rsidR="001F138F" w:rsidRPr="002756E4">
                            <w:rPr>
                              <w:b/>
                              <w:sz w:val="28"/>
                              <w:szCs w:val="28"/>
                            </w:rPr>
                            <w:t>BG16RFOP002-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</w:rPr>
                            <w:t>.091</w:t>
                          </w:r>
                          <w:r w:rsidR="001F138F" w:rsidRPr="002A2065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1F138F" w:rsidRPr="00737518">
                            <w:rPr>
                              <w:b/>
                              <w:sz w:val="28"/>
                              <w:szCs w:val="28"/>
                            </w:rPr>
                            <w:t>„Подкрепа за МСП, извършващи автобусни превози, за преодоляване на икономическите последствия от пандемията COVID-19“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BD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.8pt;width:39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ND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" stroked="f">
              <v:textbox style="mso-fit-shape-to-text:t">
                <w:txbxContent>
                  <w:p w:rsidR="001F138F" w:rsidRPr="001F138F" w:rsidRDefault="0036045B" w:rsidP="001F138F">
                    <w:pPr>
                      <w:shd w:val="clear" w:color="auto" w:fill="FFFFFF" w:themeFill="background1"/>
                      <w:spacing w:after="2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t>ПОСТЪПИЛИ ВЪПРОСИ ОТ</w:t>
                    </w:r>
                    <w:r w:rsidR="00F87713">
                      <w:t xml:space="preserve"> БЕНЕФИЦИЕНТИ</w:t>
                    </w:r>
                    <w:r>
                      <w:t xml:space="preserve"> И РАЗЯСНЕНИЯ ПО ТЯХ ПО ПРОЦЕДУРА </w:t>
                    </w:r>
                    <w:r w:rsidR="001F138F" w:rsidRPr="002756E4">
                      <w:rPr>
                        <w:b/>
                        <w:sz w:val="28"/>
                        <w:szCs w:val="28"/>
                      </w:rPr>
                      <w:t>BG16RFOP002-</w:t>
                    </w:r>
                    <w:r w:rsidR="001F138F">
                      <w:rPr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  <w:r w:rsidR="001F138F">
                      <w:rPr>
                        <w:b/>
                        <w:sz w:val="28"/>
                        <w:szCs w:val="28"/>
                      </w:rPr>
                      <w:t>.091</w:t>
                    </w:r>
                    <w:r w:rsidR="001F138F" w:rsidRPr="002A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1F138F" w:rsidRPr="00737518">
                      <w:rPr>
                        <w:b/>
                        <w:sz w:val="28"/>
                        <w:szCs w:val="28"/>
                      </w:rPr>
                      <w:t>„Подкрепа за МСП, извършващи автобусни превози, за преодоляване на икономическите последствия от пандемията COVID-19“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60E7E">
      <w:rPr>
        <w:noProof/>
        <w:lang w:eastAsia="bg-BG"/>
      </w:rPr>
      <w:drawing>
        <wp:inline distT="0" distB="0" distL="0" distR="0" wp14:anchorId="35B3A7D2" wp14:editId="4839E347">
          <wp:extent cx="967740" cy="669925"/>
          <wp:effectExtent l="0" t="0" r="381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B86">
      <w:tab/>
    </w:r>
    <w:r w:rsidRPr="00356B86">
      <w:tab/>
    </w:r>
    <w:r w:rsidRPr="00BA4FED">
      <w:rPr>
        <w:rFonts w:ascii="Times New Roman" w:eastAsia="Times New Roman" w:hAnsi="Times New Roman"/>
        <w:noProof/>
        <w:sz w:val="24"/>
        <w:szCs w:val="24"/>
        <w:lang w:eastAsia="bg-BG"/>
      </w:rPr>
      <w:drawing>
        <wp:inline distT="0" distB="0" distL="0" distR="0" wp14:anchorId="6FD104BD" wp14:editId="40AFC0B8">
          <wp:extent cx="2147570" cy="659130"/>
          <wp:effectExtent l="0" t="0" r="5080" b="762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 w:rsidRPr="00356B86">
      <w:rPr>
        <w:b/>
        <w:sz w:val="20"/>
        <w:szCs w:val="20"/>
      </w:rPr>
      <w:t>Европейски съюз</w:t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Европейски фонд за</w:t>
    </w:r>
  </w:p>
  <w:p w:rsidR="001F138F" w:rsidRP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регионално развитие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6.5pt;height:145.5pt" o:bullet="t">
        <v:imagedata r:id="rId1" o:title="Untitled"/>
      </v:shape>
    </w:pict>
  </w:numPicBullet>
  <w:abstractNum w:abstractNumId="0" w15:restartNumberingAfterBreak="0">
    <w:nsid w:val="05A66EB3"/>
    <w:multiLevelType w:val="hybridMultilevel"/>
    <w:tmpl w:val="6DFCE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1E5"/>
    <w:multiLevelType w:val="hybridMultilevel"/>
    <w:tmpl w:val="D638A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9C4"/>
    <w:multiLevelType w:val="hybridMultilevel"/>
    <w:tmpl w:val="61EE4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62BF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7DF"/>
    <w:multiLevelType w:val="hybridMultilevel"/>
    <w:tmpl w:val="B44C6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B07"/>
    <w:multiLevelType w:val="hybridMultilevel"/>
    <w:tmpl w:val="1EC84278"/>
    <w:lvl w:ilvl="0" w:tplc="9CF6F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A33"/>
    <w:multiLevelType w:val="hybridMultilevel"/>
    <w:tmpl w:val="20B29F98"/>
    <w:lvl w:ilvl="0" w:tplc="9CF6F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53D5"/>
    <w:multiLevelType w:val="hybridMultilevel"/>
    <w:tmpl w:val="B29CBDE6"/>
    <w:lvl w:ilvl="0" w:tplc="AD3A3C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6CE2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20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6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7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44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F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8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7346"/>
    <w:multiLevelType w:val="hybridMultilevel"/>
    <w:tmpl w:val="0CCE9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494"/>
    <w:multiLevelType w:val="hybridMultilevel"/>
    <w:tmpl w:val="7D92D2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4CEF"/>
    <w:multiLevelType w:val="multilevel"/>
    <w:tmpl w:val="291EB524"/>
    <w:lvl w:ilvl="0">
      <w:start w:val="1"/>
      <w:numFmt w:val="decimal"/>
      <w:pStyle w:val="Bodyal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AD274D"/>
    <w:multiLevelType w:val="hybridMultilevel"/>
    <w:tmpl w:val="6EBE0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14D80"/>
    <w:multiLevelType w:val="hybridMultilevel"/>
    <w:tmpl w:val="4FC6C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15B6E"/>
    <w:multiLevelType w:val="hybridMultilevel"/>
    <w:tmpl w:val="7846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C0FE5"/>
    <w:multiLevelType w:val="hybridMultilevel"/>
    <w:tmpl w:val="4F249296"/>
    <w:lvl w:ilvl="0" w:tplc="CC3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2"/>
    <w:rsid w:val="00007A83"/>
    <w:rsid w:val="00030A02"/>
    <w:rsid w:val="000318B4"/>
    <w:rsid w:val="00041048"/>
    <w:rsid w:val="00090C76"/>
    <w:rsid w:val="00097947"/>
    <w:rsid w:val="000B65C9"/>
    <w:rsid w:val="000C353E"/>
    <w:rsid w:val="000F1E78"/>
    <w:rsid w:val="00121315"/>
    <w:rsid w:val="00140CA4"/>
    <w:rsid w:val="001573CF"/>
    <w:rsid w:val="001B5F9C"/>
    <w:rsid w:val="001B6F8D"/>
    <w:rsid w:val="001D22FB"/>
    <w:rsid w:val="001D4587"/>
    <w:rsid w:val="001D567C"/>
    <w:rsid w:val="001E1FF0"/>
    <w:rsid w:val="001F138F"/>
    <w:rsid w:val="00206067"/>
    <w:rsid w:val="00257646"/>
    <w:rsid w:val="0028090A"/>
    <w:rsid w:val="002A7245"/>
    <w:rsid w:val="002D5638"/>
    <w:rsid w:val="002E22D4"/>
    <w:rsid w:val="002F4868"/>
    <w:rsid w:val="0030299F"/>
    <w:rsid w:val="00331BE2"/>
    <w:rsid w:val="0036045B"/>
    <w:rsid w:val="00383355"/>
    <w:rsid w:val="003858F6"/>
    <w:rsid w:val="003A3B31"/>
    <w:rsid w:val="003E3679"/>
    <w:rsid w:val="00421CB8"/>
    <w:rsid w:val="00472167"/>
    <w:rsid w:val="00474EE4"/>
    <w:rsid w:val="004D1090"/>
    <w:rsid w:val="004D59B6"/>
    <w:rsid w:val="004E77AA"/>
    <w:rsid w:val="00501941"/>
    <w:rsid w:val="00505165"/>
    <w:rsid w:val="0052125A"/>
    <w:rsid w:val="00573C90"/>
    <w:rsid w:val="00584D73"/>
    <w:rsid w:val="0059673A"/>
    <w:rsid w:val="005B6893"/>
    <w:rsid w:val="005D1512"/>
    <w:rsid w:val="005D15E1"/>
    <w:rsid w:val="006049C7"/>
    <w:rsid w:val="00615FDB"/>
    <w:rsid w:val="00620A52"/>
    <w:rsid w:val="006316A0"/>
    <w:rsid w:val="00661812"/>
    <w:rsid w:val="006807C2"/>
    <w:rsid w:val="006903BC"/>
    <w:rsid w:val="006A5212"/>
    <w:rsid w:val="006B2A69"/>
    <w:rsid w:val="0070083F"/>
    <w:rsid w:val="007064A9"/>
    <w:rsid w:val="007068CF"/>
    <w:rsid w:val="00716716"/>
    <w:rsid w:val="00750B2C"/>
    <w:rsid w:val="0076127C"/>
    <w:rsid w:val="007A1595"/>
    <w:rsid w:val="007B4252"/>
    <w:rsid w:val="007E6885"/>
    <w:rsid w:val="0080402C"/>
    <w:rsid w:val="00806107"/>
    <w:rsid w:val="008117D3"/>
    <w:rsid w:val="008300A3"/>
    <w:rsid w:val="00855228"/>
    <w:rsid w:val="008F7563"/>
    <w:rsid w:val="00914210"/>
    <w:rsid w:val="0093604A"/>
    <w:rsid w:val="009410AD"/>
    <w:rsid w:val="00945DE5"/>
    <w:rsid w:val="00993434"/>
    <w:rsid w:val="009C3995"/>
    <w:rsid w:val="00A34BF2"/>
    <w:rsid w:val="00A54487"/>
    <w:rsid w:val="00A601DB"/>
    <w:rsid w:val="00A64936"/>
    <w:rsid w:val="00A72DC2"/>
    <w:rsid w:val="00AD1304"/>
    <w:rsid w:val="00B2321B"/>
    <w:rsid w:val="00B259D4"/>
    <w:rsid w:val="00B25BB8"/>
    <w:rsid w:val="00B319A1"/>
    <w:rsid w:val="00B4315B"/>
    <w:rsid w:val="00B64518"/>
    <w:rsid w:val="00B80CEB"/>
    <w:rsid w:val="00B8607D"/>
    <w:rsid w:val="00BA0F85"/>
    <w:rsid w:val="00BC096D"/>
    <w:rsid w:val="00BC1B43"/>
    <w:rsid w:val="00BC5571"/>
    <w:rsid w:val="00BE6F79"/>
    <w:rsid w:val="00BF7DCD"/>
    <w:rsid w:val="00C0113F"/>
    <w:rsid w:val="00C439FF"/>
    <w:rsid w:val="00C50440"/>
    <w:rsid w:val="00C61972"/>
    <w:rsid w:val="00C71C2C"/>
    <w:rsid w:val="00CC28F1"/>
    <w:rsid w:val="00CD3920"/>
    <w:rsid w:val="00CF7DE6"/>
    <w:rsid w:val="00D06CDE"/>
    <w:rsid w:val="00D1131F"/>
    <w:rsid w:val="00D249D5"/>
    <w:rsid w:val="00D262C0"/>
    <w:rsid w:val="00D318DD"/>
    <w:rsid w:val="00D74924"/>
    <w:rsid w:val="00D847E3"/>
    <w:rsid w:val="00D94569"/>
    <w:rsid w:val="00DB4E51"/>
    <w:rsid w:val="00DC13A2"/>
    <w:rsid w:val="00DD6893"/>
    <w:rsid w:val="00DF6A64"/>
    <w:rsid w:val="00E0030D"/>
    <w:rsid w:val="00E137BD"/>
    <w:rsid w:val="00E15548"/>
    <w:rsid w:val="00E259F3"/>
    <w:rsid w:val="00E44F74"/>
    <w:rsid w:val="00E460C7"/>
    <w:rsid w:val="00E625B8"/>
    <w:rsid w:val="00E7600A"/>
    <w:rsid w:val="00E90376"/>
    <w:rsid w:val="00EB29F8"/>
    <w:rsid w:val="00EE6906"/>
    <w:rsid w:val="00EF32D3"/>
    <w:rsid w:val="00EF60B3"/>
    <w:rsid w:val="00F412A4"/>
    <w:rsid w:val="00F4352F"/>
    <w:rsid w:val="00F543B4"/>
    <w:rsid w:val="00F600EA"/>
    <w:rsid w:val="00F74A73"/>
    <w:rsid w:val="00F83609"/>
    <w:rsid w:val="00F87713"/>
    <w:rsid w:val="00FD2418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E3288-2E7F-4A47-8750-100AFDB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8F"/>
  </w:style>
  <w:style w:type="paragraph" w:styleId="Footer">
    <w:name w:val="footer"/>
    <w:basedOn w:val="Normal"/>
    <w:link w:val="Foot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8F"/>
  </w:style>
  <w:style w:type="paragraph" w:styleId="BalloonText">
    <w:name w:val="Balloon Text"/>
    <w:basedOn w:val="Normal"/>
    <w:link w:val="BalloonTextChar"/>
    <w:uiPriority w:val="99"/>
    <w:semiHidden/>
    <w:unhideWhenUsed/>
    <w:rsid w:val="00EF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B3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qFormat/>
    <w:rsid w:val="00EF60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F60B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unhideWhenUsed/>
    <w:rsid w:val="00EF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F7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4E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06"/>
    <w:rPr>
      <w:b/>
      <w:bCs/>
      <w:sz w:val="20"/>
      <w:szCs w:val="20"/>
    </w:rPr>
  </w:style>
  <w:style w:type="paragraph" w:customStyle="1" w:styleId="Bodyall">
    <w:name w:val="Body all"/>
    <w:basedOn w:val="BodyText"/>
    <w:uiPriority w:val="99"/>
    <w:rsid w:val="00A34BF2"/>
    <w:pPr>
      <w:numPr>
        <w:numId w:val="15"/>
      </w:numPr>
      <w:tabs>
        <w:tab w:val="clear" w:pos="432"/>
      </w:tabs>
      <w:spacing w:before="60" w:after="60" w:line="320" w:lineRule="exact"/>
      <w:ind w:left="720" w:hanging="36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B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Galina Vassileva</cp:lastModifiedBy>
  <cp:revision>3</cp:revision>
  <dcterms:created xsi:type="dcterms:W3CDTF">2021-01-12T13:01:00Z</dcterms:created>
  <dcterms:modified xsi:type="dcterms:W3CDTF">2021-01-12T14:20:00Z</dcterms:modified>
</cp:coreProperties>
</file>