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577"/>
        <w:tblW w:w="14468" w:type="dxa"/>
        <w:tblLook w:val="04A0" w:firstRow="1" w:lastRow="0" w:firstColumn="1" w:lastColumn="0" w:noHBand="0" w:noVBand="1"/>
      </w:tblPr>
      <w:tblGrid>
        <w:gridCol w:w="498"/>
        <w:gridCol w:w="1612"/>
        <w:gridCol w:w="5936"/>
        <w:gridCol w:w="6422"/>
      </w:tblGrid>
      <w:tr w:rsidR="005B6893" w:rsidRPr="005B6893" w:rsidTr="000F1E78">
        <w:tc>
          <w:tcPr>
            <w:tcW w:w="14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93" w:rsidRPr="00F600EA" w:rsidRDefault="005B6893" w:rsidP="00BC55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600EA">
              <w:rPr>
                <w:b/>
                <w:color w:val="FF0000"/>
                <w:sz w:val="24"/>
                <w:szCs w:val="24"/>
              </w:rPr>
              <w:t>Разяснени</w:t>
            </w:r>
            <w:r w:rsidR="00BC5571" w:rsidRPr="00F600EA">
              <w:rPr>
                <w:b/>
                <w:color w:val="FF0000"/>
                <w:sz w:val="24"/>
                <w:szCs w:val="24"/>
              </w:rPr>
              <w:t>е</w:t>
            </w:r>
            <w:r w:rsidRPr="00F600EA">
              <w:rPr>
                <w:b/>
                <w:color w:val="FF0000"/>
                <w:sz w:val="24"/>
                <w:szCs w:val="24"/>
              </w:rPr>
              <w:t xml:space="preserve"> № </w:t>
            </w:r>
            <w:r w:rsidR="001E1FF0">
              <w:rPr>
                <w:b/>
                <w:color w:val="FF0000"/>
                <w:sz w:val="24"/>
                <w:szCs w:val="24"/>
              </w:rPr>
              <w:t>1</w:t>
            </w:r>
            <w:r w:rsidRPr="00F600E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6045B" w:rsidRPr="00F600EA">
              <w:rPr>
                <w:b/>
                <w:color w:val="FF0000"/>
                <w:sz w:val="24"/>
                <w:szCs w:val="24"/>
              </w:rPr>
              <w:t xml:space="preserve">на въпроси от 1 до </w:t>
            </w:r>
            <w:r w:rsidR="00BF7DCD">
              <w:rPr>
                <w:b/>
                <w:color w:val="FF0000"/>
                <w:sz w:val="24"/>
                <w:szCs w:val="24"/>
              </w:rPr>
              <w:t>13</w:t>
            </w:r>
          </w:p>
          <w:p w:rsidR="005B6893" w:rsidRPr="005B6893" w:rsidRDefault="005B6893" w:rsidP="00BC5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165" w:rsidRPr="001F138F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№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 xml:space="preserve">Дата на </w:t>
            </w:r>
            <w:r w:rsidR="0036045B">
              <w:rPr>
                <w:b/>
              </w:rPr>
              <w:t xml:space="preserve">получаване на </w:t>
            </w:r>
            <w:r w:rsidRPr="001F138F">
              <w:rPr>
                <w:b/>
              </w:rPr>
              <w:t>въпрос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Въпрос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05165" w:rsidRPr="001F138F" w:rsidRDefault="001F138F" w:rsidP="00BC5571">
            <w:pPr>
              <w:jc w:val="center"/>
              <w:rPr>
                <w:b/>
              </w:rPr>
            </w:pPr>
            <w:r w:rsidRPr="001F138F">
              <w:rPr>
                <w:b/>
              </w:rPr>
              <w:t>Отговор</w:t>
            </w:r>
            <w:r w:rsidR="00BF7DCD">
              <w:rPr>
                <w:b/>
              </w:rPr>
              <w:t xml:space="preserve"> от МТИТС</w:t>
            </w:r>
          </w:p>
        </w:tc>
      </w:tr>
      <w:tr w:rsidR="00D94569" w:rsidRPr="001F138F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94569" w:rsidRPr="001F138F" w:rsidRDefault="00F600EA" w:rsidP="00BC557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94569" w:rsidRPr="001F138F" w:rsidRDefault="005D15E1" w:rsidP="00F600EA">
            <w:pPr>
              <w:jc w:val="center"/>
              <w:rPr>
                <w:b/>
              </w:rPr>
            </w:pPr>
            <w:r>
              <w:rPr>
                <w:b/>
              </w:rPr>
              <w:t>22.12</w:t>
            </w:r>
            <w:r w:rsidR="00D94569">
              <w:rPr>
                <w:b/>
              </w:rPr>
              <w:t>.202</w:t>
            </w:r>
            <w:r>
              <w:rPr>
                <w:b/>
              </w:rPr>
              <w:t>0</w:t>
            </w:r>
            <w:r w:rsidR="00D94569">
              <w:rPr>
                <w:b/>
              </w:rPr>
              <w:t xml:space="preserve"> г.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E460C7" w:rsidRDefault="00E460C7" w:rsidP="00E46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C7">
              <w:rPr>
                <w:rFonts w:ascii="Times New Roman" w:hAnsi="Times New Roman"/>
                <w:sz w:val="24"/>
                <w:szCs w:val="24"/>
              </w:rPr>
              <w:t>Допустими ли са з</w:t>
            </w:r>
            <w:r>
              <w:rPr>
                <w:rFonts w:ascii="Times New Roman" w:hAnsi="Times New Roman"/>
                <w:sz w:val="24"/>
                <w:szCs w:val="24"/>
              </w:rPr>
              <w:t>а финансиране разходи за възнаграждения</w:t>
            </w:r>
            <w:r w:rsidRPr="00E460C7">
              <w:rPr>
                <w:rFonts w:ascii="Times New Roman" w:hAnsi="Times New Roman"/>
                <w:sz w:val="24"/>
                <w:szCs w:val="24"/>
              </w:rPr>
              <w:t xml:space="preserve"> на служители, наети през м. юни 2020 г.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00EA" w:rsidRDefault="00F600EA" w:rsidP="00E460C7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569" w:rsidRPr="001F138F" w:rsidRDefault="00D94569" w:rsidP="00E460C7">
            <w:pPr>
              <w:jc w:val="both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460C7" w:rsidRDefault="00E460C7" w:rsidP="00E4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Разходите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възнаграждения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служит</w:t>
            </w:r>
            <w:r w:rsidR="00F87713">
              <w:rPr>
                <w:rFonts w:ascii="Times New Roman" w:hAnsi="Times New Roman" w:cs="Times New Roman"/>
                <w:sz w:val="24"/>
                <w:szCs w:val="24"/>
              </w:rPr>
              <w:t>ели, наети през м. юни 2020 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допустими за финансиране по процедурата при изпълнение на следните условия:</w:t>
            </w:r>
          </w:p>
          <w:p w:rsidR="00E460C7" w:rsidRDefault="00E460C7" w:rsidP="00E460C7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са допустими за финансиране разходи за персонал, които са получили публично финансиране в рамките на схеми за изплащане на компенсации за запазване на заетостта (съгласно ПМС № 55/30.03.2020 г., ПМС №151/03.07.2020г.), схема за заетост по чл.51, ал.1 от ЗНЗ, операции на ОПРЧР за подкрепа наемането на безработни и неактивни лица и др. през периода на допустимост на разходите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след 01.02.2020 г. и до крайната дата на изпълнение на заявлението за подкрепа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C7" w:rsidRDefault="00E460C7" w:rsidP="00E460C7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Допустими за финансиране са разходите за възнаграждения на персонала, които са до размера на основното месечно възнаграждение по трудово правоотношение към 01.09.2020 г.</w:t>
            </w:r>
          </w:p>
          <w:p w:rsidR="00D94569" w:rsidRPr="001F138F" w:rsidRDefault="00D94569" w:rsidP="00E460C7">
            <w:pPr>
              <w:jc w:val="both"/>
              <w:rPr>
                <w:b/>
              </w:rPr>
            </w:pPr>
          </w:p>
        </w:tc>
      </w:tr>
      <w:tr w:rsidR="00F600EA" w:rsidRPr="001F138F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1F138F" w:rsidRDefault="005D15E1" w:rsidP="00F600EA">
            <w:pPr>
              <w:jc w:val="center"/>
              <w:rPr>
                <w:b/>
              </w:rPr>
            </w:pPr>
            <w:r>
              <w:rPr>
                <w:b/>
              </w:rPr>
              <w:t>22.12.2020</w:t>
            </w:r>
            <w:r w:rsidR="00F600EA">
              <w:rPr>
                <w:b/>
              </w:rPr>
              <w:t xml:space="preserve"> г.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E460C7" w:rsidRDefault="00E460C7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>Допустими ли са за финансиране разходи за възнаграждения на служители, които към крайната дата на изпълнение на заявлението за подкрепа са освободени от работодателя?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460C7" w:rsidRPr="00E460C7" w:rsidRDefault="00E460C7" w:rsidP="00E4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 xml:space="preserve">Разходите за </w:t>
            </w: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>възнаграждения</w:t>
            </w: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>лужители, за които са изпълнени</w:t>
            </w: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7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 допустимост </w:t>
            </w: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>и които са били освободени към крайната дата на изпълнение на заявлението за подкрепа са допустими за финансиране по процедурата.</w:t>
            </w:r>
          </w:p>
          <w:p w:rsidR="00F600EA" w:rsidRPr="001F138F" w:rsidRDefault="00F600EA" w:rsidP="00F600EA">
            <w:pPr>
              <w:jc w:val="both"/>
              <w:rPr>
                <w:b/>
              </w:rPr>
            </w:pPr>
          </w:p>
        </w:tc>
      </w:tr>
      <w:tr w:rsidR="00F600EA" w:rsidRPr="001F138F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Default="005D15E1" w:rsidP="00F600EA">
            <w:pPr>
              <w:jc w:val="center"/>
              <w:rPr>
                <w:b/>
              </w:rPr>
            </w:pPr>
            <w:r>
              <w:rPr>
                <w:b/>
              </w:rPr>
              <w:t>22.12.2020</w:t>
            </w:r>
            <w:r w:rsidR="00F600EA">
              <w:rPr>
                <w:b/>
              </w:rPr>
              <w:t xml:space="preserve"> г.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Default="00E460C7" w:rsidP="0076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 сме възложители по ЗОП можем ли да отчитаме разходи за гориво за периода от 01.02.2020 г. до </w:t>
            </w:r>
            <w:r w:rsidR="0076127C">
              <w:rPr>
                <w:rFonts w:ascii="Times New Roman" w:hAnsi="Times New Roman" w:cs="Times New Roman"/>
                <w:sz w:val="24"/>
                <w:szCs w:val="24"/>
              </w:rPr>
              <w:t xml:space="preserve">датата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обявяване на процедурата </w:t>
            </w:r>
            <w:r w:rsidR="0076127C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 процедури </w:t>
            </w:r>
            <w:r w:rsidR="00090C76">
              <w:rPr>
                <w:rFonts w:ascii="Times New Roman" w:hAnsi="Times New Roman" w:cs="Times New Roman"/>
                <w:sz w:val="24"/>
                <w:szCs w:val="24"/>
              </w:rPr>
              <w:t xml:space="preserve">по ЗОП </w:t>
            </w:r>
            <w:r w:rsidR="0076127C">
              <w:rPr>
                <w:rFonts w:ascii="Times New Roman" w:hAnsi="Times New Roman" w:cs="Times New Roman"/>
                <w:sz w:val="24"/>
                <w:szCs w:val="24"/>
              </w:rPr>
              <w:t>при положение, че общата стойност на тези разходи е под праговете по ЗОП?</w:t>
            </w:r>
          </w:p>
          <w:p w:rsidR="00F600EA" w:rsidRDefault="00F600EA" w:rsidP="0076127C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6127C" w:rsidRDefault="0076127C" w:rsidP="0076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 отчитате разходи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обявяване на процедурата, съгласно Условията за кандидатстване, редът за избор на изпълнител съгласно разпоредбите на ЗУСЕСИФ и ПМС № 160/2016 г. НЕ СЕ ПРИЛАГА. </w:t>
            </w:r>
          </w:p>
          <w:p w:rsidR="0076127C" w:rsidRDefault="0076127C" w:rsidP="0076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 попадате в категорията на възложител по чл.5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ал.2-4 от ЗОП и разходите са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праговете на 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от ЗОП, то не е необходимо  провеждането на процедура по ЗОП. </w:t>
            </w:r>
          </w:p>
          <w:p w:rsidR="0076127C" w:rsidRDefault="0076127C" w:rsidP="0076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Изискване по Условията за кандидатстване, както и на Ръководството за изпълнение на проекти е, че цената следва да е пазарна, за доказването на което следва да се представят не по-малко от две съпоставими оферти, пазарно проучване или друго доказателство за съответната отчетената услуга/ доставка на суровини, материали или консумативи.</w:t>
            </w:r>
          </w:p>
          <w:p w:rsidR="00F600EA" w:rsidRPr="006049C7" w:rsidRDefault="00F600EA" w:rsidP="0076127C">
            <w:pPr>
              <w:jc w:val="both"/>
              <w:rPr>
                <w:sz w:val="24"/>
                <w:szCs w:val="24"/>
              </w:rPr>
            </w:pPr>
          </w:p>
        </w:tc>
      </w:tr>
      <w:tr w:rsidR="00F600EA" w:rsidRPr="001F138F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DC13A2" w:rsidRDefault="00F600EA" w:rsidP="00DC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A2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случай, че сме получавали финансиране по друга мярка за запазване на заетост, то разходите за възнаграждения допустим разход ли са по настоящата процедура?</w:t>
            </w:r>
          </w:p>
          <w:p w:rsidR="00F600EA" w:rsidRPr="00DC13A2" w:rsidRDefault="00F600EA" w:rsidP="00DC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13A2" w:rsidRPr="00DC13A2" w:rsidRDefault="00DC13A2" w:rsidP="00DC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A2">
              <w:rPr>
                <w:rFonts w:ascii="Times New Roman" w:hAnsi="Times New Roman" w:cs="Times New Roman"/>
                <w:sz w:val="24"/>
                <w:szCs w:val="24"/>
              </w:rPr>
              <w:t xml:space="preserve">Не са допустими за финансиране разходи за персонал, които са получили публично финансиране в рамките на схеми за изплащане на компенсации за запазване на заетостта (съгласно ПМС № 55/30.03.2020 г., ПМС №151/03.07.2020г.), схема за заетост по чл.51, ал.1 от ЗНЗ, операции на ОПРЧР за подкрепа наемането на безработни и неактивни лица и др. през периода на допустимост на разходите </w:t>
            </w:r>
            <w:r w:rsidRPr="00DC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C13A2">
              <w:rPr>
                <w:rFonts w:ascii="Times New Roman" w:hAnsi="Times New Roman" w:cs="Times New Roman"/>
                <w:sz w:val="24"/>
                <w:szCs w:val="24"/>
              </w:rPr>
              <w:t>след 01.02.2020 г. и до крайната дата на изпълнение на заявлението за подкрепа</w:t>
            </w:r>
            <w:r w:rsidRPr="00DC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C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0EA" w:rsidRPr="00DC13A2" w:rsidRDefault="00F600EA" w:rsidP="00DC13A2">
            <w:pPr>
              <w:keepNext/>
              <w:keepLines/>
              <w:spacing w:before="120"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EA" w:rsidRPr="001F138F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AD1304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501941" w:rsidRDefault="00F600EA" w:rsidP="00DC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В насоките за </w:t>
            </w:r>
            <w:r w:rsidR="00DC13A2"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кандидатстване е посочено </w:t>
            </w: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"Допълнително,  МТИТС или упълномощено от него лице може да изиска от крайният ползвател на помощта/ бенефициента  да предостави доклади и/или допълнителна информация относно напредъка, постигнат по проекта." </w:t>
            </w:r>
          </w:p>
          <w:p w:rsidR="00F600EA" w:rsidRPr="00501941" w:rsidRDefault="00F600EA" w:rsidP="00DC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какъв етап ще бъде изисквана такава информация, респективно в какъв вид ще бъде предоставяна?</w:t>
            </w:r>
          </w:p>
          <w:p w:rsidR="00F600EA" w:rsidRPr="00501941" w:rsidRDefault="00F600EA" w:rsidP="00DC13A2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501941" w:rsidRDefault="00DC13A2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Допълнителна информация може да бъде изискана </w:t>
            </w:r>
            <w:r w:rsidR="00501941"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501941"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МТИТС или упълномощено от него лице </w:t>
            </w: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>при проверка на финалния отчет по Заявлението за подкрепа.</w:t>
            </w:r>
            <w:r w:rsidR="0050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41">
              <w:rPr>
                <w:rFonts w:ascii="Times New Roman" w:hAnsi="Times New Roman" w:cs="Times New Roman"/>
                <w:sz w:val="24"/>
                <w:szCs w:val="24"/>
              </w:rPr>
              <w:t>подаден</w:t>
            </w:r>
            <w:r w:rsidR="00501941"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 от бенефициента</w:t>
            </w:r>
            <w:r w:rsidR="0050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941" w:rsidRPr="00501941" w:rsidRDefault="00DC13A2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Информацията от бенефициента ще бъде изискана  в </w:t>
            </w: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>раздел „Кореспонденция</w:t>
            </w: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01941"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 на ИСУН 2020.</w:t>
            </w:r>
          </w:p>
          <w:p w:rsidR="00501941" w:rsidRPr="00501941" w:rsidRDefault="00501941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>Ръководителя на бенефициента или упълномощено от него лице изготвя и подписва изис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каната информация и я изпраща чрез </w:t>
            </w: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>раздел „Кореспонденция“ на ИСУН 2020.</w:t>
            </w:r>
          </w:p>
          <w:p w:rsidR="00DC13A2" w:rsidRPr="00501941" w:rsidRDefault="00DC13A2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EA" w:rsidRPr="00501941" w:rsidRDefault="00F600EA" w:rsidP="00F600EA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EA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EA" w:rsidRDefault="00F600EA" w:rsidP="00F600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1" w:rsidRDefault="00F600EA" w:rsidP="0050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sz w:val="24"/>
                <w:szCs w:val="24"/>
              </w:rPr>
              <w:t xml:space="preserve">Финалният отчет се представя в срок до един месец след изтичане на срока на изпълнение на проекта. </w:t>
            </w:r>
          </w:p>
          <w:p w:rsidR="00F600EA" w:rsidRPr="00501941" w:rsidRDefault="00F600EA" w:rsidP="0050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 ли да бъде внесен финален отчет преди приключване на проекта?</w:t>
            </w:r>
          </w:p>
          <w:p w:rsidR="00F600EA" w:rsidRDefault="00F600EA" w:rsidP="00F600EA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1" w:rsidRDefault="00501941" w:rsidP="00501941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FD4">
              <w:rPr>
                <w:rFonts w:ascii="Times New Roman" w:hAnsi="Times New Roman"/>
                <w:sz w:val="24"/>
                <w:szCs w:val="24"/>
              </w:rPr>
              <w:t xml:space="preserve">Финалният отчет обхваща периода от датата на сключване на </w:t>
            </w:r>
            <w:r>
              <w:rPr>
                <w:rFonts w:ascii="Times New Roman" w:hAnsi="Times New Roman"/>
                <w:sz w:val="24"/>
                <w:szCs w:val="24"/>
              </w:rPr>
              <w:t>ДБФП</w:t>
            </w:r>
            <w:r w:rsidRPr="00537FD4">
              <w:rPr>
                <w:rFonts w:ascii="Times New Roman" w:hAnsi="Times New Roman"/>
                <w:sz w:val="24"/>
                <w:szCs w:val="24"/>
              </w:rPr>
              <w:t xml:space="preserve"> до крайният срок за неговото изпълнение, независимо, че в него са включени разходи преди този период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7FD4">
              <w:rPr>
                <w:rFonts w:ascii="Times New Roman" w:hAnsi="Times New Roman"/>
                <w:sz w:val="24"/>
                <w:szCs w:val="24"/>
              </w:rPr>
              <w:t xml:space="preserve"> и съдържа информация за реализираните по време на проекта дейности и извършени разходи. </w:t>
            </w:r>
          </w:p>
          <w:p w:rsidR="00501941" w:rsidRDefault="00501941" w:rsidP="00501941">
            <w:pPr>
              <w:spacing w:beforeAutospacing="1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това основание няма възможност да бъде представен финален отчет по проекта преди неговото приключване. </w:t>
            </w:r>
          </w:p>
          <w:p w:rsidR="00F600EA" w:rsidRDefault="00F600EA" w:rsidP="00F600EA">
            <w:pPr>
              <w:jc w:val="both"/>
              <w:rPr>
                <w:sz w:val="24"/>
                <w:szCs w:val="24"/>
              </w:rPr>
            </w:pPr>
          </w:p>
          <w:p w:rsidR="00F600EA" w:rsidRDefault="00F600EA" w:rsidP="00F600EA">
            <w:pPr>
              <w:jc w:val="both"/>
              <w:rPr>
                <w:sz w:val="24"/>
                <w:szCs w:val="24"/>
              </w:rPr>
            </w:pPr>
          </w:p>
        </w:tc>
      </w:tr>
      <w:tr w:rsidR="00F600EA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4E77AA" w:rsidRDefault="00F600E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>В условията за изпълнение е записано: "За разходите, извършени в периода от 01.02.2020 г. до обявяването на процедурата редът за избор на изпълнител съгласно разпоредбите на ЗУСЕСИФ и ПМС № 160/2016 г. НЕ СЕ ПРИЛАГА."</w:t>
            </w:r>
          </w:p>
          <w:p w:rsidR="00F600EA" w:rsidRPr="004E77AA" w:rsidRDefault="00F600E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>Моля за пояснение: Датата на обявяване на процедурата е 21.10.2020 г. Така ли е?</w:t>
            </w:r>
          </w:p>
          <w:p w:rsidR="00F600EA" w:rsidRPr="004E77AA" w:rsidRDefault="00F600E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Моля за пояснение: Това означава ли, че в периода от 01.02.2020 г. до обявяването на процедурата, всички видове разходи, които включим не подлежат на процедура за избор на изпълнител съгласно разпоредбите на ЗУСЕСИФ и ПМС № 160/2016 г, в това число разходи за суровини и материали, разходи за услуги и др.? </w:t>
            </w:r>
          </w:p>
          <w:p w:rsidR="00F600EA" w:rsidRPr="004E77AA" w:rsidRDefault="00F600EA" w:rsidP="00F60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4E77AA" w:rsidRDefault="004E77A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 xml:space="preserve">Датата на обявяване на процедурата е 21.10.2020 г. </w:t>
            </w:r>
          </w:p>
          <w:p w:rsidR="004E77AA" w:rsidRPr="004E77AA" w:rsidRDefault="004E77A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A" w:rsidRPr="004E77AA" w:rsidRDefault="004E77AA" w:rsidP="00FF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>За всички видове разходи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>т.ч.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разходи за суровини и мат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>ериали, разходи за услуги и др.</w:t>
            </w: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 xml:space="preserve">, извършени </w:t>
            </w: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>в периода от 01.02.2020 г. до</w:t>
            </w: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97">
              <w:rPr>
                <w:rFonts w:ascii="Times New Roman" w:hAnsi="Times New Roman" w:cs="Times New Roman"/>
                <w:sz w:val="24"/>
                <w:szCs w:val="24"/>
              </w:rPr>
              <w:t>21.10.2020 г.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77AA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ПРИЛАГА 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редът за избор на изпълнител, съгласно 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разпоредбит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>е на ЗУСЕСИФ и ПМС № 160/2016 г.</w:t>
            </w:r>
          </w:p>
        </w:tc>
      </w:tr>
      <w:tr w:rsidR="00F600EA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4E77AA" w:rsidRDefault="00F600E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случай, че отчитаме разходи за горива и имаме сключен договор с конкретен доставчик, то това означава ли, че отново трябва да предоставяме две съпоставими оферти, пазарен анализ и пр.? На какъв принцип ще се изисква предоставянето на 2 (две) съпоставими оферти, пазарно проучване или друго доказателство (че цената е пазарна) за съответната отчетената услуга/ доставка на суровини, материали или консумативи, за разходите направени от </w:t>
            </w:r>
            <w:r w:rsid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01.02.2020 г. до 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>21.10.2020</w:t>
            </w:r>
            <w:r w:rsid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4E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(датата на обявяване на процедурата)?</w:t>
            </w:r>
          </w:p>
          <w:p w:rsidR="00F600EA" w:rsidRPr="004E77AA" w:rsidRDefault="00F600EA" w:rsidP="004E77AA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97" w:rsidRPr="00FF2E97" w:rsidRDefault="00FF2E97" w:rsidP="00FF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>За всички отчетени</w:t>
            </w:r>
            <w:r w:rsidR="004E77AA"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разходи, извършени по сключен договор за доставка</w:t>
            </w:r>
            <w:r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>/услуга</w:t>
            </w:r>
            <w:r w:rsidR="004E77AA"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периода от 01.02.2020 г. до 21.10.2020 г. </w:t>
            </w:r>
            <w:r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бенефициентът следва да представи </w:t>
            </w:r>
            <w:r w:rsidRPr="00FF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97">
              <w:rPr>
                <w:rFonts w:ascii="Times New Roman" w:hAnsi="Times New Roman" w:cs="Times New Roman"/>
                <w:sz w:val="24"/>
                <w:szCs w:val="24"/>
              </w:rPr>
              <w:t>не по-малко от две съпоставими оферти, пазарно проучване или друго доказателство за съответната отчетената услуга/ доставка на суровини, материали или консумативи.</w:t>
            </w:r>
          </w:p>
          <w:p w:rsidR="00F600EA" w:rsidRPr="00FF2E97" w:rsidRDefault="00FF2E97" w:rsidP="006903BC">
            <w:pPr>
              <w:jc w:val="both"/>
              <w:rPr>
                <w:sz w:val="24"/>
                <w:szCs w:val="24"/>
              </w:rPr>
            </w:pPr>
            <w:r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всички отчетени разходи, извършени </w:t>
            </w:r>
            <w:r w:rsidR="004E77AA"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>след 21.10.20</w:t>
            </w:r>
            <w:r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E77AA"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моля вижте указанията на стр.18 от Условията за кандидатстване и условията за изпълнение по обявената </w:t>
            </w:r>
            <w:r w:rsidR="006903BC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процедура</w:t>
            </w:r>
            <w:r w:rsidR="004E77AA" w:rsidRPr="00FF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BG16RFOP002-2.091.</w:t>
            </w:r>
          </w:p>
        </w:tc>
      </w:tr>
      <w:tr w:rsidR="00F600EA" w:rsidTr="00F600EA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Default="00F600EA" w:rsidP="00F600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D847E3" w:rsidRDefault="00F600EA" w:rsidP="004E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E3">
              <w:rPr>
                <w:rFonts w:ascii="Times New Roman" w:hAnsi="Times New Roman" w:cs="Times New Roman"/>
                <w:bCs/>
                <w:sz w:val="24"/>
                <w:szCs w:val="24"/>
              </w:rPr>
              <w:t>За периода от 01.02.2020 г. до приключване изпълнението на проекта, раз</w:t>
            </w:r>
            <w:r w:rsidR="00FF2E97" w:rsidRPr="00D84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ходите за наем и възнаграждения </w:t>
            </w:r>
            <w:r w:rsidRPr="00D847E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подлежат на изискване за обявяване на процедура за избор на изпълнител съгласно разпоредбите на ЗУСЕСИФ и ПМС № 160/2016 г., така ли е?</w:t>
            </w:r>
          </w:p>
          <w:p w:rsidR="00F600EA" w:rsidRPr="00D847E3" w:rsidRDefault="00F600EA" w:rsidP="00F60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97" w:rsidRPr="00D847E3" w:rsidRDefault="00FF2E97" w:rsidP="00FF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E3">
              <w:rPr>
                <w:rFonts w:ascii="Times New Roman" w:hAnsi="Times New Roman" w:cs="Times New Roman"/>
                <w:sz w:val="24"/>
                <w:szCs w:val="24"/>
              </w:rPr>
              <w:t>Да. Р</w:t>
            </w:r>
            <w:r w:rsidRPr="00D84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азходите за наем и възнаграждения не подлежат на изискване за обявяване на процедура за избор на изпълнител съгласно разпоредбите </w:t>
            </w:r>
            <w:r w:rsidRPr="00D847E3">
              <w:rPr>
                <w:rFonts w:ascii="Times New Roman" w:hAnsi="Times New Roman" w:cs="Times New Roman"/>
                <w:bCs/>
                <w:sz w:val="24"/>
                <w:szCs w:val="24"/>
              </w:rPr>
              <w:t>на ЗУСЕСИФ и ПМС № 160/2016 г.</w:t>
            </w:r>
          </w:p>
          <w:p w:rsidR="00F600EA" w:rsidRDefault="00F600EA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90" w:rsidRDefault="00573C90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90" w:rsidRDefault="00573C90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90" w:rsidRDefault="00573C90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90" w:rsidRPr="00D847E3" w:rsidRDefault="00573C90" w:rsidP="00F6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E3" w:rsidRPr="00D847E3" w:rsidTr="00A35968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3" w:rsidRDefault="00D847E3" w:rsidP="00A359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3" w:rsidRDefault="00D847E3" w:rsidP="00A359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3" w:rsidRPr="001573CF" w:rsidRDefault="006903BC" w:rsidP="0015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 xml:space="preserve">За всеки разходооправдателен документ, бенефициентите следва да декларират/потвърдят в писмен вид към съответния документ </w:t>
            </w:r>
            <w:r w:rsidRPr="0015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чрез заверка върху документа</w:t>
            </w:r>
            <w:r w:rsidRPr="0015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 xml:space="preserve">, че разходът е в изпълнение на процедура </w:t>
            </w:r>
            <w:r w:rsidRPr="001573CF">
              <w:rPr>
                <w:rFonts w:ascii="Times New Roman" w:hAnsi="Times New Roman" w:cs="Times New Roman"/>
                <w:bCs/>
                <w:sz w:val="24"/>
                <w:szCs w:val="24"/>
              </w:rPr>
              <w:t>BG16RFOP002-2.091.</w:t>
            </w:r>
          </w:p>
          <w:p w:rsidR="006903BC" w:rsidRPr="001573CF" w:rsidRDefault="006903BC" w:rsidP="0015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Когато не е възможно да се напише на лицето на фактурата (фактурите за гориво са с размер на касови бележки и няма място</w:t>
            </w:r>
            <w:r w:rsidRPr="0015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, допустимо ли е да се напише на гърба и трябва ли и гърба да се сканира и приложи към финансовия отчет?</w:t>
            </w:r>
          </w:p>
          <w:p w:rsidR="006903BC" w:rsidRPr="001573CF" w:rsidRDefault="001573CF" w:rsidP="0015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С химикал ли да е написано или може да е с молив?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A4" w:rsidRDefault="00140CA4" w:rsidP="00140CA4">
            <w:pPr>
              <w:spacing w:before="120" w:after="20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Условия за допустимост на разходите по процедурата е з</w:t>
            </w:r>
            <w:r w:rsidRPr="007837DD">
              <w:rPr>
                <w:rFonts w:ascii="Times New Roman" w:hAnsi="Times New Roman"/>
                <w:spacing w:val="-4"/>
                <w:sz w:val="24"/>
                <w:szCs w:val="24"/>
              </w:rPr>
              <w:t>а разходите да е налична адекватна одитна следа, включително да са спазени изискванията за съхраняване на документите по чл. 14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0 от Регламент (ЕС) № 1303/2013. За да е изпълнено това изискване е необходимо всички заверки на разходооправдателните документи да бъдат извършени с химикал. В случай, че е невъзможно заверката да бъде извършена на лицето на документа, същата може да бъде поставена на гърба на документа, като изрично се изпише № и дата на разходооправдателния документ. В този случай, </w:t>
            </w:r>
            <w:r w:rsidR="00097947">
              <w:rPr>
                <w:rFonts w:ascii="Times New Roman" w:hAnsi="Times New Roman"/>
                <w:spacing w:val="-4"/>
                <w:sz w:val="24"/>
                <w:szCs w:val="24"/>
              </w:rPr>
              <w:t>в ИСУН 2020 се прикачва сканиран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разходооправдателен документ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лице и гръб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140CA4" w:rsidRPr="00140CA4" w:rsidRDefault="00140CA4" w:rsidP="00140CA4">
            <w:pPr>
              <w:spacing w:before="120" w:after="200"/>
              <w:jc w:val="both"/>
              <w:rPr>
                <w:rFonts w:ascii="Times New Roman" w:hAnsi="Times New Roman"/>
                <w:i/>
                <w:spacing w:val="-4"/>
              </w:rPr>
            </w:pPr>
            <w:r w:rsidRPr="00140CA4">
              <w:rPr>
                <w:rFonts w:ascii="Times New Roman" w:hAnsi="Times New Roman"/>
                <w:i/>
                <w:spacing w:val="-4"/>
              </w:rPr>
              <w:t xml:space="preserve">Пример: Фактура № 1/01.02.2020 г. се финансира по процедура </w:t>
            </w:r>
            <w:r w:rsidRPr="00140CA4">
              <w:rPr>
                <w:rFonts w:ascii="Times New Roman" w:hAnsi="Times New Roman" w:cs="Times New Roman"/>
                <w:bCs/>
                <w:i/>
              </w:rPr>
              <w:t>BG16RFOP002-2.091.</w:t>
            </w:r>
          </w:p>
          <w:p w:rsidR="00D847E3" w:rsidRPr="00D847E3" w:rsidRDefault="00D847E3" w:rsidP="00A3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C" w:rsidRPr="00D847E3" w:rsidTr="00A35968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6903BC" w:rsidP="00A359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6903BC" w:rsidP="00A359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Pr="001573CF" w:rsidRDefault="001573CF" w:rsidP="0015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Подписали сме договор на 09.12.2020 г., Указанията за изпълнение са публикувани на 14.12.2020 г. и преди качването на Указанията за изпълнение сме направили табела, в която не фигурира изречението „Помощта се предоставя по Оперативна програма „Иновации и конкурентноспособност“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чрез Министерство на транспорта, информационните технологии и съобщенията“. Направили сме по образец на ОПИК.</w:t>
            </w:r>
          </w:p>
          <w:p w:rsidR="001573CF" w:rsidRPr="001573CF" w:rsidRDefault="001573CF" w:rsidP="0015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Трябва ли да направим нова табела?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90" w:rsidRPr="00573C90" w:rsidRDefault="00573C90" w:rsidP="0057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C90">
              <w:rPr>
                <w:rFonts w:ascii="Times New Roman" w:hAnsi="Times New Roman" w:cs="Times New Roman"/>
                <w:sz w:val="24"/>
                <w:szCs w:val="24"/>
              </w:rPr>
              <w:t>лакатът</w:t>
            </w:r>
            <w:r w:rsidRPr="00573C90">
              <w:rPr>
                <w:rFonts w:ascii="Times New Roman" w:hAnsi="Times New Roman" w:cs="Times New Roman"/>
                <w:sz w:val="24"/>
                <w:szCs w:val="24"/>
              </w:rPr>
              <w:t xml:space="preserve"> следва</w:t>
            </w:r>
            <w:r w:rsidRPr="0057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C90">
              <w:rPr>
                <w:rFonts w:ascii="Times New Roman" w:hAnsi="Times New Roman" w:cs="Times New Roman"/>
                <w:bCs/>
                <w:sz w:val="24"/>
                <w:szCs w:val="24"/>
              </w:rPr>
              <w:t>да бъде изработен съгласно</w:t>
            </w:r>
            <w:r w:rsidRPr="0057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C90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образеца на Приложение 1.4 Плакат</w:t>
            </w:r>
            <w:r w:rsidRPr="00573C90">
              <w:rPr>
                <w:rFonts w:ascii="Times New Roman" w:hAnsi="Times New Roman" w:cs="Times New Roman"/>
                <w:sz w:val="24"/>
                <w:szCs w:val="24"/>
              </w:rPr>
              <w:t xml:space="preserve">, приложен в Ръководства за изпълнение и електронно отчитане на безвъзмездната финансова от автобусните превозвачи, публикувани на сайта на МТИТС на следния интернет адрес: </w:t>
            </w:r>
            <w:hyperlink r:id="rId7" w:history="1">
              <w:r w:rsidRPr="00573C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https://www.mtitc.government.bg/bg/category/276/rukovodstva-za-izpulnenie-i-elektronno-otchitane-na-bezvuzmezdnata-finansova-ot-avtobusnite-prevozvachi</w:t>
              </w:r>
            </w:hyperlink>
            <w:r w:rsidRPr="0057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3BC" w:rsidRPr="00D847E3" w:rsidRDefault="006903BC" w:rsidP="00A3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C" w:rsidRPr="00D847E3" w:rsidTr="00A35968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6903BC" w:rsidP="00A359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6903BC" w:rsidP="00A359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Pr="001573CF" w:rsidRDefault="001573CF" w:rsidP="0015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В ръководството е упоменато, че трябва да уведомим къде се намира досието по проекта.</w:t>
            </w:r>
          </w:p>
          <w:p w:rsidR="001573CF" w:rsidRPr="001573CF" w:rsidRDefault="001573CF" w:rsidP="00157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CF">
              <w:rPr>
                <w:rFonts w:ascii="Times New Roman" w:hAnsi="Times New Roman" w:cs="Times New Roman"/>
                <w:sz w:val="24"/>
                <w:szCs w:val="24"/>
              </w:rPr>
              <w:t>Как става това, чрез раздела „Комуникация“ в ИСУН 2020 или чрез декларация във финалния отчет?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Pr="00D847E3" w:rsidRDefault="0070083F" w:rsidP="00A3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за местонахождението на досието по проекта се предоставя към информацията, предоставена в финалния технически отчет.</w:t>
            </w:r>
          </w:p>
        </w:tc>
      </w:tr>
      <w:tr w:rsidR="006903BC" w:rsidRPr="00D847E3" w:rsidTr="00A35968">
        <w:trPr>
          <w:trHeight w:val="5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6903BC" w:rsidP="00A3596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6903BC" w:rsidP="00A359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06.01.2021 г.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Pr="00D06CDE" w:rsidRDefault="00D06CDE" w:rsidP="00D0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DE">
              <w:rPr>
                <w:rFonts w:ascii="Times New Roman" w:hAnsi="Times New Roman" w:cs="Times New Roman"/>
                <w:sz w:val="24"/>
                <w:szCs w:val="24"/>
              </w:rPr>
              <w:t>В ръководството е упоменато, при отчитане на заплати като разход по проекта има ли ограничение кога са назначени служителите. Има само ограничение за размера на заплащането да е до трудовото правоотношение към 01.09.2020 г.</w:t>
            </w:r>
          </w:p>
          <w:p w:rsidR="00D06CDE" w:rsidRPr="00D847E3" w:rsidRDefault="00D06CDE" w:rsidP="00D06CDE">
            <w:pPr>
              <w:jc w:val="both"/>
              <w:rPr>
                <w:rFonts w:ascii="Times New Roman" w:hAnsi="Times New Roman" w:cs="Times New Roman"/>
              </w:rPr>
            </w:pPr>
            <w:r w:rsidRPr="00D06CDE">
              <w:rPr>
                <w:rFonts w:ascii="Times New Roman" w:hAnsi="Times New Roman" w:cs="Times New Roman"/>
                <w:sz w:val="24"/>
                <w:szCs w:val="24"/>
              </w:rPr>
              <w:t>Трябва ли да считаме, че възнаграждения САМО на служители, наети след 01.09.2020 г. са недопустим разход, а заплати на служителите, наети от 01.02.2020 г. до 31.08.2020 г. са допустим разход?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BC" w:rsidRDefault="00E44F74" w:rsidP="00E44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C7">
              <w:rPr>
                <w:rFonts w:ascii="Times New Roman" w:hAnsi="Times New Roman" w:cs="Times New Roman"/>
                <w:sz w:val="24"/>
                <w:szCs w:val="24"/>
              </w:rPr>
              <w:t xml:space="preserve">Разходите за възнаграждения на служители, за които са изпълнени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 допустимост и които са извършени в периода на допустимост </w:t>
            </w:r>
            <w:r w:rsidRPr="00E4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 </w:t>
            </w:r>
            <w:r w:rsidRPr="00E44F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01.02.2020 г. </w:t>
            </w:r>
            <w:r w:rsidRPr="00E44F74">
              <w:rPr>
                <w:rFonts w:ascii="Times New Roman" w:eastAsia="Calibri" w:hAnsi="Times New Roman" w:cs="Times New Roman"/>
                <w:sz w:val="24"/>
                <w:szCs w:val="24"/>
              </w:rPr>
              <w:t>и до крайната дата на изпълнение на заявлението за подкрепа</w:t>
            </w:r>
            <w:r w:rsidRPr="00E44F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44F74" w:rsidRPr="00573C90" w:rsidRDefault="00E44F74" w:rsidP="00E44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допустими за финансиране по проекта. В конкретния пример възнагражденията и на служители, наети в периода от  01.02.2020 г.  до 31.08.2020 г. и в периода след 01.09.2020 г. </w:t>
            </w:r>
            <w:r w:rsidR="009C3995">
              <w:rPr>
                <w:rFonts w:ascii="Times New Roman" w:eastAsia="Calibri" w:hAnsi="Times New Roman" w:cs="Times New Roman"/>
                <w:sz w:val="24"/>
                <w:szCs w:val="24"/>
              </w:rPr>
              <w:t>са допустими за финансиране по проекта.</w:t>
            </w:r>
          </w:p>
        </w:tc>
      </w:tr>
    </w:tbl>
    <w:p w:rsidR="00D847E3" w:rsidRDefault="00D847E3" w:rsidP="006903BC"/>
    <w:sectPr w:rsidR="00D847E3" w:rsidSect="005B6893">
      <w:headerReference w:type="default" r:id="rId8"/>
      <w:footerReference w:type="default" r:id="rId9"/>
      <w:pgSz w:w="16838" w:h="11906" w:orient="landscape"/>
      <w:pgMar w:top="2705" w:right="678" w:bottom="1417" w:left="1417" w:header="284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06" w:rsidRDefault="00CB0506" w:rsidP="001F138F">
      <w:pPr>
        <w:spacing w:after="0" w:line="240" w:lineRule="auto"/>
      </w:pPr>
      <w:r>
        <w:separator/>
      </w:r>
    </w:p>
  </w:endnote>
  <w:endnote w:type="continuationSeparator" w:id="0">
    <w:p w:rsidR="00CB0506" w:rsidRDefault="00CB0506" w:rsidP="001F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3" w:rsidRPr="006049C7" w:rsidRDefault="005B6893" w:rsidP="005B6893">
    <w:pPr>
      <w:pStyle w:val="Footer"/>
      <w:jc w:val="both"/>
      <w:rPr>
        <w:sz w:val="24"/>
        <w:szCs w:val="24"/>
      </w:rPr>
    </w:pPr>
    <w:r w:rsidRPr="005B6893">
      <w:rPr>
        <w:b/>
        <w:sz w:val="20"/>
        <w:szCs w:val="20"/>
      </w:rPr>
      <w:t>Схемата BG16RFOP002-2.091 е обявена в изпълнение на процедура чрез директно предоставяне BG16RFOP002-2.079 „Подкрепа за МСП, извършващи автобусни превози, за преодоляване на икономическите последствия от COVID-19 чрез прилагане на схема за подпомагане от Министерството на транспорта, информационните технологии и съобщенията (МТИТС)“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049C7">
      <w:rPr>
        <w:sz w:val="24"/>
        <w:szCs w:val="24"/>
      </w:rPr>
      <w:t xml:space="preserve">стр. </w:t>
    </w:r>
    <w:sdt>
      <w:sdtPr>
        <w:rPr>
          <w:sz w:val="24"/>
          <w:szCs w:val="24"/>
        </w:rPr>
        <w:id w:val="-1042741199"/>
        <w:docPartObj>
          <w:docPartGallery w:val="Page Numbers (Bottom of Page)"/>
          <w:docPartUnique/>
        </w:docPartObj>
      </w:sdtPr>
      <w:sdtEndPr/>
      <w:sdtContent>
        <w:r w:rsidRPr="006049C7">
          <w:rPr>
            <w:sz w:val="24"/>
            <w:szCs w:val="24"/>
          </w:rPr>
          <w:fldChar w:fldCharType="begin"/>
        </w:r>
        <w:r w:rsidRPr="006049C7">
          <w:rPr>
            <w:sz w:val="24"/>
            <w:szCs w:val="24"/>
          </w:rPr>
          <w:instrText>PAGE   \* MERGEFORMAT</w:instrText>
        </w:r>
        <w:r w:rsidRPr="006049C7">
          <w:rPr>
            <w:sz w:val="24"/>
            <w:szCs w:val="24"/>
          </w:rPr>
          <w:fldChar w:fldCharType="separate"/>
        </w:r>
        <w:r w:rsidR="000B1010">
          <w:rPr>
            <w:noProof/>
            <w:sz w:val="24"/>
            <w:szCs w:val="24"/>
          </w:rPr>
          <w:t>6</w:t>
        </w:r>
        <w:r w:rsidRPr="006049C7">
          <w:rPr>
            <w:sz w:val="24"/>
            <w:szCs w:val="24"/>
          </w:rPr>
          <w:fldChar w:fldCharType="end"/>
        </w:r>
      </w:sdtContent>
    </w:sdt>
  </w:p>
  <w:p w:rsidR="009410AD" w:rsidRDefault="0094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06" w:rsidRDefault="00CB0506" w:rsidP="001F138F">
      <w:pPr>
        <w:spacing w:after="0" w:line="240" w:lineRule="auto"/>
      </w:pPr>
      <w:r>
        <w:separator/>
      </w:r>
    </w:p>
  </w:footnote>
  <w:footnote w:type="continuationSeparator" w:id="0">
    <w:p w:rsidR="00CB0506" w:rsidRDefault="00CB0506" w:rsidP="001F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8F" w:rsidRDefault="001F138F" w:rsidP="001F138F">
    <w:pPr>
      <w:pStyle w:val="Header"/>
      <w:tabs>
        <w:tab w:val="clear" w:pos="9072"/>
      </w:tabs>
    </w:pPr>
    <w:r>
      <w:tab/>
    </w:r>
    <w:r>
      <w:tab/>
    </w:r>
  </w:p>
  <w:p w:rsidR="001F138F" w:rsidRPr="00356B86" w:rsidRDefault="001F138F" w:rsidP="001F138F">
    <w:pPr>
      <w:tabs>
        <w:tab w:val="center" w:pos="9498"/>
      </w:tabs>
      <w:spacing w:after="0" w:line="240" w:lineRule="auto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BD6A1" wp14:editId="0165B3E9">
              <wp:simplePos x="0" y="0"/>
              <wp:positionH relativeFrom="column">
                <wp:posOffset>1577340</wp:posOffset>
              </wp:positionH>
              <wp:positionV relativeFrom="paragraph">
                <wp:posOffset>10160</wp:posOffset>
              </wp:positionV>
              <wp:extent cx="5028565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8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38F" w:rsidRPr="001F138F" w:rsidRDefault="0036045B" w:rsidP="001F138F">
                          <w:pPr>
                            <w:shd w:val="clear" w:color="auto" w:fill="FFFFFF" w:themeFill="background1"/>
                            <w:spacing w:after="24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>ПОСТЪПИЛИ ВЪПРОСИ ОТ</w:t>
                          </w:r>
                          <w:r w:rsidR="00F87713">
                            <w:t xml:space="preserve"> БЕНЕФИЦИЕНТИ</w:t>
                          </w:r>
                          <w:r>
                            <w:t xml:space="preserve"> И РАЗЯСНЕНИЯ ПО ТЯХ ПО ПРОЦЕДУРА </w:t>
                          </w:r>
                          <w:r w:rsidR="001F138F" w:rsidRPr="002756E4">
                            <w:rPr>
                              <w:b/>
                              <w:sz w:val="28"/>
                              <w:szCs w:val="28"/>
                            </w:rPr>
                            <w:t>BG16RFOP002-</w:t>
                          </w:r>
                          <w:r w:rsidR="001F138F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="001F138F">
                            <w:rPr>
                              <w:b/>
                              <w:sz w:val="28"/>
                              <w:szCs w:val="28"/>
                            </w:rPr>
                            <w:t>.091</w:t>
                          </w:r>
                          <w:r w:rsidR="001F138F" w:rsidRPr="002A2065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1F138F" w:rsidRPr="00737518">
                            <w:rPr>
                              <w:b/>
                              <w:sz w:val="28"/>
                              <w:szCs w:val="28"/>
                            </w:rPr>
                            <w:t>„Подкрепа за МСП, извършващи автобусни превози, за преодоляване на икономическите последствия от пандемията COVID-19“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BD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.8pt;width:39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ND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" stroked="f">
              <v:textbox style="mso-fit-shape-to-text:t">
                <w:txbxContent>
                  <w:p w:rsidR="001F138F" w:rsidRPr="001F138F" w:rsidRDefault="0036045B" w:rsidP="001F138F">
                    <w:pPr>
                      <w:shd w:val="clear" w:color="auto" w:fill="FFFFFF" w:themeFill="background1"/>
                      <w:spacing w:after="24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t>ПОСТЪПИЛИ ВЪПРОСИ ОТ</w:t>
                    </w:r>
                    <w:r w:rsidR="00F87713">
                      <w:t xml:space="preserve"> БЕНЕФИЦИЕНТИ</w:t>
                    </w:r>
                    <w:r>
                      <w:t xml:space="preserve"> И РАЗЯСНЕНИЯ ПО ТЯХ ПО ПРОЦЕДУРА </w:t>
                    </w:r>
                    <w:r w:rsidR="001F138F" w:rsidRPr="002756E4">
                      <w:rPr>
                        <w:b/>
                        <w:sz w:val="28"/>
                        <w:szCs w:val="28"/>
                      </w:rPr>
                      <w:t>BG16RFOP002-</w:t>
                    </w:r>
                    <w:r w:rsidR="001F138F">
                      <w:rPr>
                        <w:b/>
                        <w:sz w:val="28"/>
                        <w:szCs w:val="28"/>
                        <w:lang w:val="en-US"/>
                      </w:rPr>
                      <w:t>2</w:t>
                    </w:r>
                    <w:r w:rsidR="001F138F">
                      <w:rPr>
                        <w:b/>
                        <w:sz w:val="28"/>
                        <w:szCs w:val="28"/>
                      </w:rPr>
                      <w:t>.091</w:t>
                    </w:r>
                    <w:r w:rsidR="001F138F" w:rsidRPr="002A2065">
                      <w:rPr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1F138F" w:rsidRPr="00737518">
                      <w:rPr>
                        <w:b/>
                        <w:sz w:val="28"/>
                        <w:szCs w:val="28"/>
                      </w:rPr>
                      <w:t>„Подкрепа за МСП, извършващи автобусни превози, за преодоляване на икономическите последствия от пандемията COVID-19“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60E7E">
      <w:rPr>
        <w:noProof/>
        <w:lang w:eastAsia="bg-BG"/>
      </w:rPr>
      <w:drawing>
        <wp:inline distT="0" distB="0" distL="0" distR="0" wp14:anchorId="35B3A7D2" wp14:editId="4839E347">
          <wp:extent cx="967740" cy="669925"/>
          <wp:effectExtent l="0" t="0" r="3810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B86">
      <w:tab/>
    </w:r>
    <w:r w:rsidRPr="00356B86">
      <w:tab/>
    </w:r>
    <w:r w:rsidRPr="00BA4FED">
      <w:rPr>
        <w:rFonts w:ascii="Times New Roman" w:eastAsia="Times New Roman" w:hAnsi="Times New Roman"/>
        <w:noProof/>
        <w:sz w:val="24"/>
        <w:szCs w:val="24"/>
        <w:lang w:eastAsia="bg-BG"/>
      </w:rPr>
      <w:drawing>
        <wp:inline distT="0" distB="0" distL="0" distR="0" wp14:anchorId="6FD104BD" wp14:editId="40AFC0B8">
          <wp:extent cx="2147570" cy="659130"/>
          <wp:effectExtent l="0" t="0" r="5080" b="762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 w:rsidRPr="00356B86">
      <w:rPr>
        <w:b/>
        <w:sz w:val="20"/>
        <w:szCs w:val="20"/>
      </w:rPr>
      <w:t>Европейски съюз</w:t>
    </w:r>
  </w:p>
  <w:p w:rsid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Европейски фонд за</w:t>
    </w:r>
  </w:p>
  <w:p w:rsidR="001F138F" w:rsidRPr="001F138F" w:rsidRDefault="001F138F" w:rsidP="001F138F">
    <w:pPr>
      <w:tabs>
        <w:tab w:val="center" w:pos="4703"/>
        <w:tab w:val="right" w:pos="9406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регионално развитие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66.5pt;height:145.5pt" o:bullet="t">
        <v:imagedata r:id="rId1" o:title="Untitled"/>
      </v:shape>
    </w:pict>
  </w:numPicBullet>
  <w:abstractNum w:abstractNumId="0" w15:restartNumberingAfterBreak="0">
    <w:nsid w:val="05A66EB3"/>
    <w:multiLevelType w:val="hybridMultilevel"/>
    <w:tmpl w:val="6DFCE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1E5"/>
    <w:multiLevelType w:val="hybridMultilevel"/>
    <w:tmpl w:val="D638A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9C4"/>
    <w:multiLevelType w:val="hybridMultilevel"/>
    <w:tmpl w:val="61EE4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62BF"/>
    <w:multiLevelType w:val="hybridMultilevel"/>
    <w:tmpl w:val="BD5CE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7DF"/>
    <w:multiLevelType w:val="hybridMultilevel"/>
    <w:tmpl w:val="B44C65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B07"/>
    <w:multiLevelType w:val="hybridMultilevel"/>
    <w:tmpl w:val="1EC84278"/>
    <w:lvl w:ilvl="0" w:tplc="9CF6F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A33"/>
    <w:multiLevelType w:val="hybridMultilevel"/>
    <w:tmpl w:val="20B29F98"/>
    <w:lvl w:ilvl="0" w:tplc="9CF6F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53D5"/>
    <w:multiLevelType w:val="hybridMultilevel"/>
    <w:tmpl w:val="B29CBDE6"/>
    <w:lvl w:ilvl="0" w:tplc="AD3A3C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26CE2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20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6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7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744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F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B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88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F7346"/>
    <w:multiLevelType w:val="hybridMultilevel"/>
    <w:tmpl w:val="0CCE9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494"/>
    <w:multiLevelType w:val="hybridMultilevel"/>
    <w:tmpl w:val="7D92D2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74D"/>
    <w:multiLevelType w:val="hybridMultilevel"/>
    <w:tmpl w:val="6EBE03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D80"/>
    <w:multiLevelType w:val="hybridMultilevel"/>
    <w:tmpl w:val="4FC6C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5B6E"/>
    <w:multiLevelType w:val="hybridMultilevel"/>
    <w:tmpl w:val="7846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C0FE5"/>
    <w:multiLevelType w:val="hybridMultilevel"/>
    <w:tmpl w:val="4F249296"/>
    <w:lvl w:ilvl="0" w:tplc="CC34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12"/>
    <w:rsid w:val="00007A83"/>
    <w:rsid w:val="00030A02"/>
    <w:rsid w:val="000318B4"/>
    <w:rsid w:val="00041048"/>
    <w:rsid w:val="00090C76"/>
    <w:rsid w:val="00097947"/>
    <w:rsid w:val="000B1010"/>
    <w:rsid w:val="000B65C9"/>
    <w:rsid w:val="000C353E"/>
    <w:rsid w:val="000F1E78"/>
    <w:rsid w:val="00140CA4"/>
    <w:rsid w:val="001573CF"/>
    <w:rsid w:val="001B5F9C"/>
    <w:rsid w:val="001B6F8D"/>
    <w:rsid w:val="001D22FB"/>
    <w:rsid w:val="001D4587"/>
    <w:rsid w:val="001D567C"/>
    <w:rsid w:val="001E1FF0"/>
    <w:rsid w:val="001F138F"/>
    <w:rsid w:val="00206067"/>
    <w:rsid w:val="00257646"/>
    <w:rsid w:val="0028090A"/>
    <w:rsid w:val="002A7245"/>
    <w:rsid w:val="002D5638"/>
    <w:rsid w:val="002E22D4"/>
    <w:rsid w:val="002F4868"/>
    <w:rsid w:val="0030299F"/>
    <w:rsid w:val="00331BE2"/>
    <w:rsid w:val="0036045B"/>
    <w:rsid w:val="003858F6"/>
    <w:rsid w:val="003A3B31"/>
    <w:rsid w:val="003E3679"/>
    <w:rsid w:val="00421CB8"/>
    <w:rsid w:val="00472167"/>
    <w:rsid w:val="00474EE4"/>
    <w:rsid w:val="004D1090"/>
    <w:rsid w:val="004D59B6"/>
    <w:rsid w:val="004E77AA"/>
    <w:rsid w:val="00501941"/>
    <w:rsid w:val="00505165"/>
    <w:rsid w:val="0052125A"/>
    <w:rsid w:val="00573C90"/>
    <w:rsid w:val="00584D73"/>
    <w:rsid w:val="0059673A"/>
    <w:rsid w:val="005B6893"/>
    <w:rsid w:val="005D1512"/>
    <w:rsid w:val="005D15E1"/>
    <w:rsid w:val="006049C7"/>
    <w:rsid w:val="00615FDB"/>
    <w:rsid w:val="00620A52"/>
    <w:rsid w:val="006316A0"/>
    <w:rsid w:val="00661812"/>
    <w:rsid w:val="006807C2"/>
    <w:rsid w:val="006903BC"/>
    <w:rsid w:val="006B2A69"/>
    <w:rsid w:val="0070083F"/>
    <w:rsid w:val="007064A9"/>
    <w:rsid w:val="007068CF"/>
    <w:rsid w:val="00716716"/>
    <w:rsid w:val="00750B2C"/>
    <w:rsid w:val="0076127C"/>
    <w:rsid w:val="007A1595"/>
    <w:rsid w:val="007B4252"/>
    <w:rsid w:val="007E6885"/>
    <w:rsid w:val="0080402C"/>
    <w:rsid w:val="00806107"/>
    <w:rsid w:val="008117D3"/>
    <w:rsid w:val="008300A3"/>
    <w:rsid w:val="00855228"/>
    <w:rsid w:val="008F7563"/>
    <w:rsid w:val="00914210"/>
    <w:rsid w:val="0093604A"/>
    <w:rsid w:val="009410AD"/>
    <w:rsid w:val="00993434"/>
    <w:rsid w:val="009C3995"/>
    <w:rsid w:val="00A54487"/>
    <w:rsid w:val="00A601DB"/>
    <w:rsid w:val="00A64936"/>
    <w:rsid w:val="00AD1304"/>
    <w:rsid w:val="00B2321B"/>
    <w:rsid w:val="00B259D4"/>
    <w:rsid w:val="00B25BB8"/>
    <w:rsid w:val="00B319A1"/>
    <w:rsid w:val="00B4315B"/>
    <w:rsid w:val="00B64518"/>
    <w:rsid w:val="00B80CEB"/>
    <w:rsid w:val="00B8607D"/>
    <w:rsid w:val="00BA0F85"/>
    <w:rsid w:val="00BC096D"/>
    <w:rsid w:val="00BC1B43"/>
    <w:rsid w:val="00BC5571"/>
    <w:rsid w:val="00BE6F79"/>
    <w:rsid w:val="00BF7DCD"/>
    <w:rsid w:val="00C0113F"/>
    <w:rsid w:val="00C439FF"/>
    <w:rsid w:val="00C50440"/>
    <w:rsid w:val="00C61972"/>
    <w:rsid w:val="00C71C2C"/>
    <w:rsid w:val="00CB0506"/>
    <w:rsid w:val="00CC28F1"/>
    <w:rsid w:val="00CD3920"/>
    <w:rsid w:val="00CF7DE6"/>
    <w:rsid w:val="00D06CDE"/>
    <w:rsid w:val="00D1131F"/>
    <w:rsid w:val="00D249D5"/>
    <w:rsid w:val="00D262C0"/>
    <w:rsid w:val="00D318DD"/>
    <w:rsid w:val="00D847E3"/>
    <w:rsid w:val="00D94569"/>
    <w:rsid w:val="00DC13A2"/>
    <w:rsid w:val="00DD6893"/>
    <w:rsid w:val="00DF6A64"/>
    <w:rsid w:val="00E0030D"/>
    <w:rsid w:val="00E137BD"/>
    <w:rsid w:val="00E15548"/>
    <w:rsid w:val="00E259F3"/>
    <w:rsid w:val="00E44F74"/>
    <w:rsid w:val="00E460C7"/>
    <w:rsid w:val="00E625B8"/>
    <w:rsid w:val="00E7600A"/>
    <w:rsid w:val="00E90376"/>
    <w:rsid w:val="00EB29F8"/>
    <w:rsid w:val="00EE6906"/>
    <w:rsid w:val="00EF32D3"/>
    <w:rsid w:val="00EF60B3"/>
    <w:rsid w:val="00F4352F"/>
    <w:rsid w:val="00F543B4"/>
    <w:rsid w:val="00F600EA"/>
    <w:rsid w:val="00F74A73"/>
    <w:rsid w:val="00F87713"/>
    <w:rsid w:val="00FD2418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6EF8"/>
  <w15:chartTrackingRefBased/>
  <w15:docId w15:val="{36DE3288-2E7F-4A47-8750-100AFDB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38F"/>
  </w:style>
  <w:style w:type="paragraph" w:styleId="Footer">
    <w:name w:val="footer"/>
    <w:basedOn w:val="Normal"/>
    <w:link w:val="FooterChar"/>
    <w:uiPriority w:val="99"/>
    <w:unhideWhenUsed/>
    <w:rsid w:val="001F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38F"/>
  </w:style>
  <w:style w:type="paragraph" w:styleId="BalloonText">
    <w:name w:val="Balloon Text"/>
    <w:basedOn w:val="Normal"/>
    <w:link w:val="BalloonTextChar"/>
    <w:uiPriority w:val="99"/>
    <w:semiHidden/>
    <w:unhideWhenUsed/>
    <w:rsid w:val="00EF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B3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unhideWhenUsed/>
    <w:qFormat/>
    <w:rsid w:val="00EF60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F60B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unhideWhenUsed/>
    <w:rsid w:val="00EF60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F7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4E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itc.government.bg/bg/category/276/rukovodstva-za-izpulnenie-i-elektronno-otchitane-na-bezvuzmezdnata-finansova-ot-avtobusnite-prevozva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Silviya Georgieva Kuzmanova</cp:lastModifiedBy>
  <cp:revision>20</cp:revision>
  <dcterms:created xsi:type="dcterms:W3CDTF">2021-01-07T10:51:00Z</dcterms:created>
  <dcterms:modified xsi:type="dcterms:W3CDTF">2021-01-08T10:34:00Z</dcterms:modified>
</cp:coreProperties>
</file>