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Y="2577"/>
        <w:tblW w:w="14468" w:type="dxa"/>
        <w:tblLook w:val="04A0" w:firstRow="1" w:lastRow="0" w:firstColumn="1" w:lastColumn="0" w:noHBand="0" w:noVBand="1"/>
      </w:tblPr>
      <w:tblGrid>
        <w:gridCol w:w="498"/>
        <w:gridCol w:w="1612"/>
        <w:gridCol w:w="5936"/>
        <w:gridCol w:w="6422"/>
      </w:tblGrid>
      <w:tr w:rsidR="005B6893" w:rsidRPr="005B6893" w:rsidTr="000F1E78">
        <w:tc>
          <w:tcPr>
            <w:tcW w:w="14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893" w:rsidRPr="00F600EA" w:rsidRDefault="00231E9C" w:rsidP="00BC55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5B6893" w:rsidRPr="00F600EA">
              <w:rPr>
                <w:b/>
                <w:color w:val="FF0000"/>
                <w:sz w:val="24"/>
                <w:szCs w:val="24"/>
              </w:rPr>
              <w:t>Разяснени</w:t>
            </w:r>
            <w:r w:rsidR="00BC5571" w:rsidRPr="00F600EA">
              <w:rPr>
                <w:b/>
                <w:color w:val="FF0000"/>
                <w:sz w:val="24"/>
                <w:szCs w:val="24"/>
              </w:rPr>
              <w:t>е</w:t>
            </w:r>
            <w:r w:rsidR="005B6893" w:rsidRPr="00F600EA">
              <w:rPr>
                <w:b/>
                <w:color w:val="FF0000"/>
                <w:sz w:val="24"/>
                <w:szCs w:val="24"/>
              </w:rPr>
              <w:t xml:space="preserve"> № </w:t>
            </w:r>
            <w:r w:rsidR="007858FD">
              <w:rPr>
                <w:b/>
                <w:color w:val="FF0000"/>
                <w:sz w:val="24"/>
                <w:szCs w:val="24"/>
              </w:rPr>
              <w:t>3</w:t>
            </w:r>
            <w:r w:rsidR="005B6893" w:rsidRPr="00F600E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7858FD">
              <w:rPr>
                <w:b/>
                <w:color w:val="FF0000"/>
                <w:sz w:val="24"/>
                <w:szCs w:val="24"/>
              </w:rPr>
              <w:t>на въпроси от 18</w:t>
            </w:r>
            <w:r w:rsidR="0036045B" w:rsidRPr="00F600EA">
              <w:rPr>
                <w:b/>
                <w:color w:val="FF0000"/>
                <w:sz w:val="24"/>
                <w:szCs w:val="24"/>
              </w:rPr>
              <w:t xml:space="preserve"> до </w:t>
            </w:r>
            <w:r w:rsidR="007858FD">
              <w:rPr>
                <w:b/>
                <w:color w:val="FF0000"/>
                <w:sz w:val="24"/>
                <w:szCs w:val="24"/>
              </w:rPr>
              <w:t>3</w:t>
            </w:r>
            <w:r w:rsidR="00121315">
              <w:rPr>
                <w:b/>
                <w:color w:val="FF0000"/>
                <w:sz w:val="24"/>
                <w:szCs w:val="24"/>
              </w:rPr>
              <w:t>7</w:t>
            </w:r>
          </w:p>
          <w:p w:rsidR="005B6893" w:rsidRPr="005B6893" w:rsidRDefault="005B6893" w:rsidP="00BC55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5165" w:rsidRPr="001F138F" w:rsidTr="00F83609">
        <w:trPr>
          <w:trHeight w:val="54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05165" w:rsidRPr="001F138F" w:rsidRDefault="001F138F" w:rsidP="00BC5571">
            <w:pPr>
              <w:jc w:val="center"/>
              <w:rPr>
                <w:b/>
              </w:rPr>
            </w:pPr>
            <w:r w:rsidRPr="001F138F">
              <w:rPr>
                <w:b/>
              </w:rPr>
              <w:t>№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05165" w:rsidRPr="001F138F" w:rsidRDefault="001F138F" w:rsidP="00BC5571">
            <w:pPr>
              <w:jc w:val="center"/>
              <w:rPr>
                <w:b/>
              </w:rPr>
            </w:pPr>
            <w:r w:rsidRPr="001F138F">
              <w:rPr>
                <w:b/>
              </w:rPr>
              <w:t xml:space="preserve">Дата на </w:t>
            </w:r>
            <w:r w:rsidR="0036045B">
              <w:rPr>
                <w:b/>
              </w:rPr>
              <w:t xml:space="preserve">получаване на </w:t>
            </w:r>
            <w:r w:rsidRPr="001F138F">
              <w:rPr>
                <w:b/>
              </w:rPr>
              <w:t>въпрос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:rsidR="00505165" w:rsidRPr="001F138F" w:rsidRDefault="001F138F" w:rsidP="00BC5571">
            <w:pPr>
              <w:jc w:val="center"/>
              <w:rPr>
                <w:b/>
              </w:rPr>
            </w:pPr>
            <w:r w:rsidRPr="001F138F">
              <w:rPr>
                <w:b/>
              </w:rPr>
              <w:t>Въпрос</w:t>
            </w:r>
          </w:p>
        </w:tc>
        <w:tc>
          <w:tcPr>
            <w:tcW w:w="6422" w:type="dxa"/>
            <w:tcBorders>
              <w:top w:val="single" w:sz="4" w:space="0" w:color="auto"/>
              <w:bottom w:val="single" w:sz="4" w:space="0" w:color="auto"/>
            </w:tcBorders>
          </w:tcPr>
          <w:p w:rsidR="00505165" w:rsidRPr="001F138F" w:rsidRDefault="001F138F" w:rsidP="00BC5571">
            <w:pPr>
              <w:jc w:val="center"/>
              <w:rPr>
                <w:b/>
              </w:rPr>
            </w:pPr>
            <w:r w:rsidRPr="001F138F">
              <w:rPr>
                <w:b/>
              </w:rPr>
              <w:t>Отговор</w:t>
            </w:r>
            <w:r w:rsidR="00BF7DCD">
              <w:rPr>
                <w:b/>
              </w:rPr>
              <w:t xml:space="preserve"> от МТИТС</w:t>
            </w:r>
          </w:p>
        </w:tc>
      </w:tr>
      <w:tr w:rsidR="007E7E71" w:rsidTr="00F53ABD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1" w:rsidRPr="00865BE0" w:rsidRDefault="007E7E71" w:rsidP="00F53ABD">
            <w:pPr>
              <w:jc w:val="center"/>
              <w:rPr>
                <w:b/>
              </w:rPr>
            </w:pPr>
            <w:r w:rsidRPr="00865BE0">
              <w:rPr>
                <w:b/>
              </w:rPr>
              <w:t>18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1" w:rsidRPr="00865BE0" w:rsidRDefault="007E7E71" w:rsidP="00F53ABD">
            <w:pPr>
              <w:jc w:val="center"/>
              <w:rPr>
                <w:b/>
              </w:rPr>
            </w:pPr>
            <w:r w:rsidRPr="00865BE0">
              <w:rPr>
                <w:b/>
              </w:rPr>
              <w:t>13.01.2021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1" w:rsidRPr="007E7E71" w:rsidRDefault="00E41310" w:rsidP="00F53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Моля за по-</w:t>
            </w:r>
            <w:r w:rsidR="007E7E71" w:rsidRPr="007E7E71">
              <w:rPr>
                <w:rFonts w:ascii="Times New Roman" w:hAnsi="Times New Roman" w:cs="Times New Roman"/>
                <w:sz w:val="24"/>
                <w:szCs w:val="24"/>
              </w:rPr>
              <w:t>подробни разяснения относно доказването на пазарна цена на извършените преди обявяване на схемата разходи и по-специално на разходите за гориво. Тъй като цената на горивата е изключително динамична във времето е невъзможно да се оферират конкретни цени за бъдещи периоди. Честа практика е да се сключи договор с доставчик на гориво с фиксирани търговски отстъпки, без в него да се фиксират конкретни цени за бъдещи периоди. При наличие на такъв договор - достатъчно ли ще е да се представят две оферти към момента на сключване на договора, от които да е видно, че изпълнителя е избран при конкурентни пазарни условия или трябва да се представят две оферти, към всяка фактура?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1" w:rsidRDefault="00A93DAC" w:rsidP="00A93DAC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 наличие на сключен договор за доставка на стоки и или услуги представянето на две оферти към датата на неговото сключване  е приемливо доказателство за извършено пазарно проучване за доказване на изискването за пазарна цена на извършените доставки.</w:t>
            </w:r>
          </w:p>
        </w:tc>
      </w:tr>
      <w:tr w:rsidR="007E7E71" w:rsidTr="00F53ABD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1" w:rsidRDefault="007E7E71" w:rsidP="007E7E7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1" w:rsidRDefault="007E7E71" w:rsidP="00F53ABD">
            <w:pPr>
              <w:jc w:val="center"/>
              <w:rPr>
                <w:b/>
              </w:rPr>
            </w:pPr>
            <w:r>
              <w:rPr>
                <w:b/>
              </w:rPr>
              <w:t>13.01.2021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1" w:rsidRPr="007E7E71" w:rsidRDefault="007E7E71" w:rsidP="007E7E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E71">
              <w:rPr>
                <w:rFonts w:ascii="Times New Roman" w:hAnsi="Times New Roman" w:cs="Times New Roman"/>
                <w:sz w:val="24"/>
                <w:szCs w:val="24"/>
              </w:rPr>
              <w:t>Ще бъде ли прието за извършено пазарно проучване справка (разпечатка ) от сайта fuelo.net в който всеки ден се публикува актуална информация за цените на горивата в страната, както и архив за дневните и средно седмичните цени на горивата, обхващащ отчетния период.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1" w:rsidRPr="00531D82" w:rsidRDefault="00531D82" w:rsidP="00F53ABD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Представянето на справка, която да съдържа информация за цените на горивата в отчетния период е приемливо доказателство за извършено пазарно проучване за доказване на изискването за пазарна цена на извършените доставки.</w:t>
            </w:r>
          </w:p>
        </w:tc>
      </w:tr>
      <w:tr w:rsidR="007E7E71" w:rsidTr="00F53ABD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1" w:rsidRDefault="007E7E71" w:rsidP="00F53AB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1" w:rsidRDefault="007E7E71" w:rsidP="00F53ABD">
            <w:pPr>
              <w:jc w:val="center"/>
              <w:rPr>
                <w:b/>
              </w:rPr>
            </w:pPr>
            <w:r>
              <w:rPr>
                <w:b/>
              </w:rPr>
              <w:t>13.01.2021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1" w:rsidRPr="007E7E71" w:rsidRDefault="007E7E71" w:rsidP="00F53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E71">
              <w:rPr>
                <w:rFonts w:ascii="Times New Roman" w:hAnsi="Times New Roman" w:cs="Times New Roman"/>
                <w:sz w:val="24"/>
                <w:szCs w:val="24"/>
              </w:rPr>
              <w:t>В случай, че в рамките на отчетния период фирмата е участвала по мярка „Запази ме” на Агенцията по Заетостта, по която се  изплащат по 24</w:t>
            </w:r>
            <w:r w:rsidR="0035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E71">
              <w:rPr>
                <w:rFonts w:ascii="Times New Roman" w:hAnsi="Times New Roman" w:cs="Times New Roman"/>
                <w:sz w:val="24"/>
                <w:szCs w:val="24"/>
              </w:rPr>
              <w:t>лв. н</w:t>
            </w:r>
            <w:r w:rsidR="003540DE">
              <w:rPr>
                <w:rFonts w:ascii="Times New Roman" w:hAnsi="Times New Roman" w:cs="Times New Roman"/>
                <w:sz w:val="24"/>
                <w:szCs w:val="24"/>
              </w:rPr>
              <w:t>а ден директно на служителите (</w:t>
            </w:r>
            <w:r w:rsidRPr="007E7E71">
              <w:rPr>
                <w:rFonts w:ascii="Times New Roman" w:hAnsi="Times New Roman" w:cs="Times New Roman"/>
                <w:sz w:val="24"/>
                <w:szCs w:val="24"/>
              </w:rPr>
              <w:t>а не на бенефициента) ще бъдат ли допустими разходите за възнаграждения и осигуровки за сметка на работодателя по  настоящата схема.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DE" w:rsidRDefault="003540DE" w:rsidP="00354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Разходите за възнаграждения на персона и осигуровки за сметка на работодателя са допустими за финансиране по настоящата схема при спазване на изискването бенефициентът да не е извършвал </w:t>
            </w:r>
            <w:r w:rsidRPr="003540DE">
              <w:rPr>
                <w:rFonts w:ascii="Times New Roman" w:hAnsi="Times New Roman"/>
                <w:sz w:val="24"/>
                <w:szCs w:val="24"/>
              </w:rPr>
              <w:t>разходи за персонал, които са получили публично финансиране в рамките на схеми за изплащане на компенсации за запазване на заетостта (съгласно ПМС № 55/30.03.2020 г., ПМС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0DE">
              <w:rPr>
                <w:rFonts w:ascii="Times New Roman" w:hAnsi="Times New Roman"/>
                <w:sz w:val="24"/>
                <w:szCs w:val="24"/>
              </w:rPr>
              <w:t>151/03.07.2020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0DE">
              <w:rPr>
                <w:rFonts w:ascii="Times New Roman" w:hAnsi="Times New Roman"/>
                <w:sz w:val="24"/>
                <w:szCs w:val="24"/>
              </w:rPr>
              <w:t>г.), схема за заетост по чл.</w:t>
            </w:r>
            <w:r w:rsidR="004A5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0DE">
              <w:rPr>
                <w:rFonts w:ascii="Times New Roman" w:hAnsi="Times New Roman"/>
                <w:sz w:val="24"/>
                <w:szCs w:val="24"/>
              </w:rPr>
              <w:t>51, ал.</w:t>
            </w:r>
            <w:r w:rsidR="004A5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0DE">
              <w:rPr>
                <w:rFonts w:ascii="Times New Roman" w:hAnsi="Times New Roman"/>
                <w:sz w:val="24"/>
                <w:szCs w:val="24"/>
              </w:rPr>
              <w:t xml:space="preserve">1 от ЗНЗ, операции на ОПРЧР за подкрепа наемането на безработни и неактивни лица и др. през периода на допустимост на разходите </w:t>
            </w:r>
            <w:r w:rsidRPr="003540D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3540DE">
              <w:rPr>
                <w:rFonts w:ascii="Times New Roman" w:hAnsi="Times New Roman"/>
                <w:sz w:val="24"/>
                <w:szCs w:val="24"/>
              </w:rPr>
              <w:t>след 01.02.2020 г. и до крайната дата на изпълнение на заявлението за подкрепа</w:t>
            </w:r>
            <w:r w:rsidRPr="003540D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3540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40DE" w:rsidRPr="003540DE" w:rsidRDefault="003540DE" w:rsidP="00354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7E71">
              <w:rPr>
                <w:rFonts w:ascii="Times New Roman" w:hAnsi="Times New Roman" w:cs="Times New Roman"/>
                <w:sz w:val="24"/>
                <w:szCs w:val="24"/>
              </w:rPr>
              <w:t>о мярка „Запази ме” 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генцията по Заетостта се осигурява изплащане на компенсации на заети лица, които в определен период са в неплатен отпуск т.е. това не е публично финансиране, изпла</w:t>
            </w:r>
            <w:r w:rsidR="00A93DAC">
              <w:rPr>
                <w:rFonts w:ascii="Times New Roman" w:hAnsi="Times New Roman" w:cs="Times New Roman"/>
                <w:sz w:val="24"/>
                <w:szCs w:val="24"/>
              </w:rPr>
              <w:t>тено на бенефициента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покриване на извършени от него разходи.</w:t>
            </w:r>
          </w:p>
          <w:p w:rsidR="007E7E71" w:rsidRDefault="007E7E71" w:rsidP="00F53ABD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7E7E71" w:rsidTr="00F53ABD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1" w:rsidRDefault="007E7E71" w:rsidP="00F53AB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1" w:rsidRDefault="007E7E71" w:rsidP="00F53ABD">
            <w:pPr>
              <w:jc w:val="center"/>
              <w:rPr>
                <w:b/>
              </w:rPr>
            </w:pPr>
            <w:r>
              <w:rPr>
                <w:b/>
              </w:rPr>
              <w:t>13.01.2021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1" w:rsidRPr="007E7E71" w:rsidRDefault="007E7E71" w:rsidP="00F53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E71">
              <w:rPr>
                <w:rFonts w:ascii="Times New Roman" w:hAnsi="Times New Roman" w:cs="Times New Roman"/>
                <w:sz w:val="24"/>
                <w:szCs w:val="24"/>
              </w:rPr>
              <w:t>В случай, че бенефициентът е изпълнител на договор за транспортни услуги, с</w:t>
            </w:r>
            <w:r w:rsidR="007858FD">
              <w:rPr>
                <w:rFonts w:ascii="Times New Roman" w:hAnsi="Times New Roman" w:cs="Times New Roman"/>
                <w:sz w:val="24"/>
                <w:szCs w:val="24"/>
              </w:rPr>
              <w:t xml:space="preserve"> възложител Община, сключен при </w:t>
            </w:r>
            <w:r w:rsidRPr="007E7E71">
              <w:rPr>
                <w:rFonts w:ascii="Times New Roman" w:hAnsi="Times New Roman" w:cs="Times New Roman"/>
                <w:sz w:val="24"/>
                <w:szCs w:val="24"/>
              </w:rPr>
              <w:t>пазарни условия (проведена обществена поръчка)  това счита ли се за „Обществена услуга“?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6C" w:rsidRDefault="0014736C" w:rsidP="00531598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Съгласно легалната дефиниция „обществени услуги“ са услуги от общ интерес, които могат да бъдат:</w:t>
            </w:r>
          </w:p>
          <w:p w:rsidR="0014736C" w:rsidRDefault="0014736C" w:rsidP="00531598">
            <w:pPr>
              <w:pStyle w:val="Bodyall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Услуги от общ икономически интерес</w:t>
            </w:r>
          </w:p>
          <w:p w:rsidR="0014736C" w:rsidRDefault="0014736C" w:rsidP="00531598">
            <w:pPr>
              <w:pStyle w:val="Bodyall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Нестопански услуги от общ интерес</w:t>
            </w:r>
          </w:p>
          <w:p w:rsidR="0014736C" w:rsidRDefault="0014736C" w:rsidP="00531598">
            <w:pPr>
              <w:pStyle w:val="Bodyall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Социални услуги от общ интерес</w:t>
            </w:r>
          </w:p>
          <w:p w:rsidR="0014736C" w:rsidRDefault="0014736C" w:rsidP="00531598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В категорията „Услуги от общ икономически интерес“ попадат основни услуги, извършвани в замяна на заплащане в т.ч. и извършване на обществен пътнически превоз. </w:t>
            </w:r>
          </w:p>
          <w:p w:rsidR="0014736C" w:rsidRDefault="0014736C" w:rsidP="00531598">
            <w:pPr>
              <w:pStyle w:val="doc-ti"/>
              <w:jc w:val="both"/>
            </w:pPr>
            <w:r>
              <w:t xml:space="preserve">Съгласно определението в член 2 от Регламент (ЕО) № 1370/2007 на ЕС/23.10.2007 г.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200"/>
            </w:tblGrid>
            <w:tr w:rsidR="0014736C" w:rsidRPr="0014736C" w:rsidTr="00531598">
              <w:trPr>
                <w:trHeight w:val="80"/>
                <w:tblCellSpacing w:w="0" w:type="dxa"/>
              </w:trPr>
              <w:tc>
                <w:tcPr>
                  <w:tcW w:w="0" w:type="auto"/>
                  <w:hideMark/>
                </w:tcPr>
                <w:p w:rsidR="0014736C" w:rsidRPr="0014736C" w:rsidRDefault="0014736C" w:rsidP="00403AD8">
                  <w:pPr>
                    <w:framePr w:hSpace="141" w:wrap="around" w:vAnchor="page" w:hAnchor="margin" w:y="257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736C" w:rsidRPr="000A1B66" w:rsidRDefault="0014736C" w:rsidP="00403AD8">
                  <w:pPr>
                    <w:pStyle w:val="ListParagraph"/>
                    <w:framePr w:hSpace="141" w:wrap="around" w:vAnchor="page" w:hAnchor="margin" w:y="2577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0A1B66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„обществен пътнически превоз“ означава услуги за превоз на пътници от общ икономически интерес, предоставяни на обществеността регулярно</w:t>
                  </w:r>
                  <w:r w:rsidR="00531598" w:rsidRPr="000A1B66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 xml:space="preserve"> и на недискриминационна основа.</w:t>
                  </w:r>
                </w:p>
              </w:tc>
            </w:tr>
            <w:tr w:rsidR="00531598" w:rsidRPr="00531598" w:rsidTr="00531598">
              <w:trPr>
                <w:trHeight w:val="1473"/>
                <w:tblCellSpacing w:w="0" w:type="dxa"/>
              </w:trPr>
              <w:tc>
                <w:tcPr>
                  <w:tcW w:w="0" w:type="auto"/>
                  <w:hideMark/>
                </w:tcPr>
                <w:p w:rsidR="00531598" w:rsidRPr="00531598" w:rsidRDefault="00531598" w:rsidP="00403AD8">
                  <w:pPr>
                    <w:framePr w:hSpace="141" w:wrap="around" w:vAnchor="page" w:hAnchor="margin" w:y="257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31598" w:rsidRPr="000A1B66" w:rsidRDefault="00531598" w:rsidP="00403AD8">
                  <w:pPr>
                    <w:pStyle w:val="ListParagraph"/>
                    <w:framePr w:hSpace="141" w:wrap="around" w:vAnchor="page" w:hAnchor="margin" w:y="2577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0A1B66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„компенсация за обществена услуга“ означава каквато и да е облага, в частност финансова, предоставена пряко или непряко от компетентен орган от обществени средства по време на периода на изпълнение на задължение за извършване на обществена услуга или във връзка с този период.</w:t>
                  </w:r>
                </w:p>
              </w:tc>
            </w:tr>
          </w:tbl>
          <w:p w:rsidR="0014736C" w:rsidRDefault="00531598" w:rsidP="00531598">
            <w:pPr>
              <w:pStyle w:val="doc-ti"/>
              <w:jc w:val="both"/>
            </w:pPr>
            <w:r>
              <w:t xml:space="preserve">В този смисъл разходите за предоставяне на обществени услуги са недопустими за финансиране по процедура </w:t>
            </w:r>
            <w:r w:rsidRPr="00FF2E97">
              <w:rPr>
                <w:bCs/>
              </w:rPr>
              <w:t xml:space="preserve"> </w:t>
            </w:r>
            <w:r>
              <w:rPr>
                <w:bCs/>
              </w:rPr>
              <w:t>BG16RFOP002-2.091</w:t>
            </w:r>
          </w:p>
          <w:p w:rsidR="0014736C" w:rsidRPr="0014736C" w:rsidRDefault="0014736C" w:rsidP="0014736C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439BB" w:rsidRPr="00531D82" w:rsidTr="00F53ABD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B" w:rsidRDefault="00BF094B" w:rsidP="00F53AB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B" w:rsidRDefault="00A439BB" w:rsidP="000158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158FD">
              <w:rPr>
                <w:b/>
              </w:rPr>
              <w:t>4</w:t>
            </w:r>
            <w:r>
              <w:rPr>
                <w:b/>
              </w:rPr>
              <w:t>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B" w:rsidRPr="00817E71" w:rsidRDefault="00A439BB" w:rsidP="00817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71">
              <w:rPr>
                <w:rFonts w:ascii="Times New Roman" w:hAnsi="Times New Roman" w:cs="Times New Roman"/>
                <w:sz w:val="24"/>
                <w:szCs w:val="24"/>
              </w:rPr>
              <w:t>Разходи за счетоводни услуги допустими ли са за отчитане спазвайки праговете и разпоредбите на ЗУСЕСИФ и ПМС 160.</w:t>
            </w:r>
          </w:p>
          <w:p w:rsidR="00A439BB" w:rsidRPr="00817E71" w:rsidRDefault="00A439BB" w:rsidP="00817E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62" w:rsidRPr="003F15B3" w:rsidRDefault="00EE7462" w:rsidP="00EE7462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  <w:lang w:eastAsia="bg-BG"/>
              </w:rPr>
            </w:pPr>
            <w:r w:rsidRPr="003F15B3">
              <w:rPr>
                <w:rFonts w:ascii="Times New Roman" w:hAnsi="Times New Roman"/>
                <w:szCs w:val="24"/>
                <w:lang w:eastAsia="bg-BG"/>
              </w:rPr>
              <w:t>Предоставените по схемата средства следва да бъдат използвани за покриване на текущите нужди на кандидатите и извършване на разходи за оперативен капитал, чиято стойност се калкулира в стойността на предоставяната транспортна услуга.</w:t>
            </w:r>
          </w:p>
          <w:p w:rsidR="003F15B3" w:rsidRPr="003F15B3" w:rsidRDefault="00EE7462" w:rsidP="00EE7462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Недопустими за финансиране по схемата са административни разходи, които не са пряко свързани с предоставената транспортна услуга и не се калкулират в нейната себестойност.</w:t>
            </w:r>
          </w:p>
        </w:tc>
      </w:tr>
      <w:tr w:rsidR="00A439BB" w:rsidRPr="00531D82" w:rsidTr="00F53ABD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B" w:rsidRDefault="00BF094B" w:rsidP="00F53AB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B" w:rsidRDefault="00A439BB" w:rsidP="00F53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158FD">
              <w:rPr>
                <w:b/>
              </w:rPr>
              <w:t>4</w:t>
            </w:r>
            <w:r>
              <w:rPr>
                <w:b/>
              </w:rPr>
              <w:t>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B" w:rsidRPr="00817E71" w:rsidRDefault="000158FD" w:rsidP="00817E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E71">
              <w:rPr>
                <w:rFonts w:ascii="Times New Roman" w:hAnsi="Times New Roman" w:cs="Times New Roman"/>
                <w:sz w:val="24"/>
                <w:szCs w:val="24"/>
              </w:rPr>
              <w:t>Разходи за ремонт на автобуси, в това число резервни части, които се явяват консумативи, допустими ли са за отчитане спазвайки праговете и разпоредбите на ЗУСЕСИФ и ПМС 160.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B" w:rsidRPr="00531D82" w:rsidRDefault="003F15B3" w:rsidP="003F15B3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Разходите за ремонт и резервни части на автобуси са допустими за финансиране по схемата при спазване на всички изисквания за допустимост на разходите.</w:t>
            </w:r>
          </w:p>
        </w:tc>
      </w:tr>
      <w:tr w:rsidR="00A439BB" w:rsidRPr="00531D82" w:rsidTr="00F53ABD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B" w:rsidRDefault="00BF094B" w:rsidP="00F53AB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B" w:rsidRDefault="00A439BB" w:rsidP="00F53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158FD">
              <w:rPr>
                <w:b/>
              </w:rPr>
              <w:t>4</w:t>
            </w:r>
            <w:r>
              <w:rPr>
                <w:b/>
              </w:rPr>
              <w:t>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B" w:rsidRPr="00817E71" w:rsidRDefault="000158FD" w:rsidP="00817E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E71">
              <w:rPr>
                <w:rFonts w:ascii="Times New Roman" w:hAnsi="Times New Roman" w:cs="Times New Roman"/>
                <w:sz w:val="24"/>
                <w:szCs w:val="24"/>
              </w:rPr>
              <w:t>Разходи за външни услуги, като реклама, граждански договори за услуги, юридически консултации и други подобни допустими ли са за отчитане спазвайки праговете и разпоредбите на ЗУСЕСИФ и ПМС 160?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62" w:rsidRPr="003F15B3" w:rsidRDefault="00EE7462" w:rsidP="00EE7462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  <w:lang w:eastAsia="bg-BG"/>
              </w:rPr>
            </w:pPr>
            <w:r w:rsidRPr="003F15B3">
              <w:rPr>
                <w:rFonts w:ascii="Times New Roman" w:hAnsi="Times New Roman"/>
                <w:szCs w:val="24"/>
                <w:lang w:eastAsia="bg-BG"/>
              </w:rPr>
              <w:t>Предоставените по схемата средства следва да бъдат използвани за покриване на текущите нужди на кандидатите и извършване на разходи за оперативен капитал, чиято стойност се калкулира в стойността на предоставяната транспортна услуга.</w:t>
            </w:r>
          </w:p>
          <w:p w:rsidR="00A439BB" w:rsidRPr="00EE7462" w:rsidRDefault="00EE7462" w:rsidP="00F53ABD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Недопустими за финансиране по схемата са административни разходи, които не са пряко свързани с предоставената транспортна услуга и не се калкулират в нейната себестойност.</w:t>
            </w:r>
          </w:p>
        </w:tc>
      </w:tr>
      <w:tr w:rsidR="00A439BB" w:rsidRPr="00531D82" w:rsidTr="00F53ABD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B" w:rsidRDefault="00BF094B" w:rsidP="00F53AB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B" w:rsidRDefault="00A439BB" w:rsidP="000158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158FD">
              <w:rPr>
                <w:b/>
              </w:rPr>
              <w:t>4</w:t>
            </w:r>
            <w:r>
              <w:rPr>
                <w:b/>
              </w:rPr>
              <w:t>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B" w:rsidRPr="00817E71" w:rsidRDefault="000158FD" w:rsidP="00817E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E71">
              <w:rPr>
                <w:rFonts w:ascii="Times New Roman" w:hAnsi="Times New Roman" w:cs="Times New Roman"/>
                <w:sz w:val="24"/>
                <w:szCs w:val="24"/>
              </w:rPr>
              <w:t>В допустимите разходи влиза ли и данъка на служителя включен в брутното му възнаграждение?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62" w:rsidRPr="00EE7462" w:rsidRDefault="00EE7462" w:rsidP="00EE7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462">
              <w:rPr>
                <w:rFonts w:ascii="Times New Roman" w:hAnsi="Times New Roman"/>
                <w:sz w:val="24"/>
                <w:szCs w:val="24"/>
              </w:rPr>
              <w:t xml:space="preserve">Допустими за финансиране са разходите за възнаграждения на персонала, които са до размера на основното месечно </w:t>
            </w:r>
            <w:r w:rsidRPr="00EE7462">
              <w:rPr>
                <w:rFonts w:ascii="Times New Roman" w:hAnsi="Times New Roman"/>
                <w:sz w:val="24"/>
                <w:szCs w:val="24"/>
              </w:rPr>
              <w:lastRenderedPageBreak/>
              <w:t>възнаграждение по трудово правоотношение към 01.09.2020 г.</w:t>
            </w:r>
          </w:p>
          <w:p w:rsidR="00A439BB" w:rsidRPr="00531D82" w:rsidRDefault="00A439BB" w:rsidP="00F53ABD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158FD" w:rsidRPr="00531D82" w:rsidTr="00F53ABD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FD" w:rsidRDefault="00BF094B" w:rsidP="00F53AB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FD" w:rsidRDefault="000158FD" w:rsidP="00F53ABD">
            <w:pPr>
              <w:jc w:val="center"/>
              <w:rPr>
                <w:b/>
              </w:rPr>
            </w:pPr>
            <w:r>
              <w:rPr>
                <w:b/>
              </w:rPr>
              <w:t>14.01.2021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FD" w:rsidRPr="00817E71" w:rsidRDefault="000158FD" w:rsidP="00817E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E71">
              <w:rPr>
                <w:rFonts w:ascii="Times New Roman" w:hAnsi="Times New Roman" w:cs="Times New Roman"/>
                <w:sz w:val="24"/>
                <w:szCs w:val="24"/>
              </w:rPr>
              <w:t>Има ли ограничение за размера на възнаграждението по ДУК?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FD" w:rsidRPr="00531D82" w:rsidRDefault="003A5C39" w:rsidP="00F53ABD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Недопустими за финансиране по схемата са административни разходи, които не са пряко свързани с предоставената транспортна услуга и не се калкулират в нейната себестойност.</w:t>
            </w:r>
          </w:p>
        </w:tc>
      </w:tr>
      <w:tr w:rsidR="000158FD" w:rsidRPr="00531D82" w:rsidTr="00F53ABD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FD" w:rsidRDefault="00BF094B" w:rsidP="00F53AB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FD" w:rsidRDefault="000158FD" w:rsidP="00F53ABD">
            <w:pPr>
              <w:jc w:val="center"/>
              <w:rPr>
                <w:b/>
              </w:rPr>
            </w:pPr>
            <w:r>
              <w:rPr>
                <w:b/>
              </w:rPr>
              <w:t>14.01.2021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FD" w:rsidRPr="00817E71" w:rsidRDefault="000158FD" w:rsidP="00817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71">
              <w:rPr>
                <w:rFonts w:ascii="Times New Roman" w:hAnsi="Times New Roman" w:cs="Times New Roman"/>
                <w:sz w:val="24"/>
                <w:szCs w:val="24"/>
              </w:rPr>
              <w:t>Разходи за положен личен труд на собственик допустими ли са и има ли ограничения или изисквания за него?</w:t>
            </w:r>
          </w:p>
          <w:p w:rsidR="000158FD" w:rsidRPr="00817E71" w:rsidRDefault="000158FD" w:rsidP="00817E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FD" w:rsidRDefault="003A5C39" w:rsidP="00F53ABD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Недопустими за финансиране по схемата са административни разходи, които не са пряко свързани с предоставената транспортна услуга и не се калкулират в нейната себестойност.</w:t>
            </w:r>
          </w:p>
          <w:p w:rsidR="003A5C39" w:rsidRPr="00531D82" w:rsidRDefault="003A5C39" w:rsidP="00F53ABD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3643D" w:rsidRPr="00531D82" w:rsidTr="00F53ABD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D" w:rsidRPr="0063643D" w:rsidRDefault="00BF094B" w:rsidP="00F53AB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D" w:rsidRDefault="0063643D" w:rsidP="00F53ABD">
            <w:pPr>
              <w:jc w:val="center"/>
              <w:rPr>
                <w:b/>
              </w:rPr>
            </w:pPr>
            <w:r>
              <w:rPr>
                <w:b/>
              </w:rPr>
              <w:t>14.01.2021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D" w:rsidRPr="00AE0A9B" w:rsidRDefault="0063643D" w:rsidP="00AE0A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A9B">
              <w:rPr>
                <w:rFonts w:ascii="Times New Roman" w:hAnsi="Times New Roman" w:cs="Times New Roman"/>
                <w:sz w:val="24"/>
                <w:szCs w:val="24"/>
              </w:rPr>
              <w:t>Допустими ли са заплати назначени служители след 01.09.2020 г., както и за новоназначени и бъдещи назначения, и в какъв размер?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27" w:rsidRDefault="00CE2B27" w:rsidP="00CE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0C7">
              <w:rPr>
                <w:rFonts w:ascii="Times New Roman" w:hAnsi="Times New Roman" w:cs="Times New Roman"/>
                <w:sz w:val="24"/>
                <w:szCs w:val="24"/>
              </w:rPr>
              <w:t xml:space="preserve">Разходите за възнаграждения на служители, за които са изпълнени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за допустимост и които са извършени в периода на допустимост </w:t>
            </w:r>
            <w:r w:rsidRPr="00E44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 </w:t>
            </w:r>
            <w:r w:rsidRPr="00E44F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01.02.2020 г. </w:t>
            </w:r>
            <w:r w:rsidRPr="00E44F74">
              <w:rPr>
                <w:rFonts w:ascii="Times New Roman" w:eastAsia="Calibri" w:hAnsi="Times New Roman" w:cs="Times New Roman"/>
                <w:sz w:val="24"/>
                <w:szCs w:val="24"/>
              </w:rPr>
              <w:t>и до крайната дата на изпълнение на заявлението за подкрепа)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 допустими за финансиране по проекта. </w:t>
            </w:r>
          </w:p>
          <w:p w:rsidR="00CE2B27" w:rsidRDefault="00CE2B27" w:rsidP="00CE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2B27" w:rsidRPr="00CE2B27" w:rsidRDefault="00CE2B27" w:rsidP="00CE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B27">
              <w:rPr>
                <w:rFonts w:ascii="Times New Roman" w:eastAsia="Calibri" w:hAnsi="Times New Roman" w:cs="Times New Roman"/>
                <w:sz w:val="24"/>
                <w:szCs w:val="24"/>
              </w:rPr>
              <w:t>Допустими за финансиране са разходите за възнаграждения на персонала, които са до размера на основното месечно възнаграждение по трудово правоотношение към 01.09.2020 г.</w:t>
            </w:r>
          </w:p>
          <w:p w:rsidR="002741A2" w:rsidRDefault="002741A2" w:rsidP="00CE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1A2" w:rsidRPr="00403AD8" w:rsidRDefault="002741A2" w:rsidP="00CE2B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r w:rsidRPr="00403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Разходи за възнаграждения на персонал, назначен след 01.09.2020 г. не са допустими за финансиране по процедурата.</w:t>
            </w:r>
          </w:p>
          <w:bookmarkEnd w:id="0"/>
          <w:p w:rsidR="002741A2" w:rsidRDefault="002741A2" w:rsidP="00CE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7C1" w:rsidRPr="002741A2" w:rsidRDefault="00B527C1" w:rsidP="00CE2B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1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Забележка:</w:t>
            </w:r>
            <w:r w:rsidRPr="00274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Настоящото пояснение </w:t>
            </w:r>
            <w:r w:rsidR="00274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 отнася и към </w:t>
            </w:r>
            <w:r w:rsidRPr="00274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отговор към Въпрос № 13.</w:t>
            </w:r>
          </w:p>
          <w:p w:rsidR="00B527C1" w:rsidRPr="00B527C1" w:rsidRDefault="00B527C1" w:rsidP="00CE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643D" w:rsidRPr="00531D82" w:rsidTr="00F53ABD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D" w:rsidRDefault="00BF094B" w:rsidP="00F53AB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D" w:rsidRDefault="0063643D" w:rsidP="00F53ABD">
            <w:pPr>
              <w:jc w:val="center"/>
              <w:rPr>
                <w:b/>
              </w:rPr>
            </w:pPr>
            <w:r>
              <w:rPr>
                <w:b/>
              </w:rPr>
              <w:t>14.01.2021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B" w:rsidRPr="00AE0A9B" w:rsidRDefault="00AE0A9B" w:rsidP="00AE0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9B">
              <w:rPr>
                <w:rFonts w:ascii="Times New Roman" w:hAnsi="Times New Roman" w:cs="Times New Roman"/>
                <w:sz w:val="24"/>
                <w:szCs w:val="24"/>
              </w:rPr>
              <w:t>От 01.01.2021 г. е увеличен минималният осигурителния праг. Това касае пряко възнагражденията по ТД сключени преди 01.09.2020 г. Как да се отчитат тези възнаграждения при условия, че те се увеличават по закон? </w:t>
            </w:r>
          </w:p>
          <w:p w:rsidR="0063643D" w:rsidRPr="00AE0A9B" w:rsidRDefault="0063643D" w:rsidP="00AE0A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7D" w:rsidRPr="00EE7462" w:rsidRDefault="0020047D" w:rsidP="00200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462">
              <w:rPr>
                <w:rFonts w:ascii="Times New Roman" w:hAnsi="Times New Roman"/>
                <w:sz w:val="24"/>
                <w:szCs w:val="24"/>
              </w:rPr>
              <w:t>Допустими за финансиране са разходите за възнаграждения на персонала, които са до размера на основното месечно възнаграждение по трудово правоотношение към 01.09.2020 г.</w:t>
            </w:r>
          </w:p>
          <w:p w:rsidR="0063643D" w:rsidRPr="00531D82" w:rsidRDefault="0063643D" w:rsidP="00F53ABD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3643D" w:rsidRPr="00531D82" w:rsidTr="00F53ABD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D" w:rsidRDefault="00BF094B" w:rsidP="00F53AB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D" w:rsidRDefault="0063643D" w:rsidP="00F53ABD">
            <w:pPr>
              <w:jc w:val="center"/>
              <w:rPr>
                <w:b/>
              </w:rPr>
            </w:pPr>
            <w:r>
              <w:rPr>
                <w:b/>
              </w:rPr>
              <w:t>14.01.2021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D" w:rsidRPr="00AE0A9B" w:rsidRDefault="00AE0A9B" w:rsidP="00AE0A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A9B">
              <w:rPr>
                <w:rFonts w:ascii="Times New Roman" w:hAnsi="Times New Roman" w:cs="Times New Roman"/>
                <w:sz w:val="24"/>
                <w:szCs w:val="24"/>
              </w:rPr>
              <w:t>Във връзка с изискването за прилагане на избор на изпълнител чрез публична покана по реда на ПМС 160/2016 г. при разходване на средства надвишаващи 30 000 лв. без ДДС, моля за вашето становище по какъв ред следва да се разходват средствата за горива, доколкото същите са включени в Списък на стоките по чл.79, ал.1, т. 7и чл.191 ,ал.1, т.6 от Закона за обществените поръчки, приет с Постановление на Министерски съвет № 191 от 29.07.2016 г. и за тях е приложим специален режим на възлагане чрез договаряне без предварително обявление и изпращане на покана до определени лица, а в ПМС 160 не е предвиден аналогичен специален ред. 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F" w:rsidRDefault="009A5E3F" w:rsidP="009A5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E3F">
              <w:rPr>
                <w:rFonts w:ascii="Times New Roman" w:hAnsi="Times New Roman" w:cs="Times New Roman"/>
                <w:sz w:val="24"/>
                <w:szCs w:val="24"/>
              </w:rPr>
              <w:t xml:space="preserve">Разходването на средства за горива се извършва при прилагане на процедури по реда на ПМС № 160/2016 г. </w:t>
            </w:r>
          </w:p>
          <w:p w:rsidR="009A5E3F" w:rsidRPr="009A5E3F" w:rsidRDefault="009A5E3F" w:rsidP="009A5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E3F">
              <w:rPr>
                <w:rFonts w:ascii="Times New Roman" w:hAnsi="Times New Roman" w:cs="Times New Roman"/>
                <w:sz w:val="24"/>
                <w:szCs w:val="24"/>
              </w:rPr>
              <w:t>ЗОП не е приложим закон.</w:t>
            </w:r>
          </w:p>
          <w:p w:rsidR="0063643D" w:rsidRPr="00531D82" w:rsidRDefault="0063643D" w:rsidP="00F53ABD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C4ED8" w:rsidRPr="00531D82" w:rsidTr="008B5186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D8" w:rsidRPr="00AC4ED8" w:rsidRDefault="00BF094B" w:rsidP="008B51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31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D8" w:rsidRDefault="00AC4ED8" w:rsidP="008B5186">
            <w:pPr>
              <w:jc w:val="center"/>
              <w:rPr>
                <w:b/>
              </w:rPr>
            </w:pPr>
            <w:r>
              <w:rPr>
                <w:b/>
              </w:rPr>
              <w:t>14.01.2021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D8" w:rsidRPr="00AC4ED8" w:rsidRDefault="00AC4ED8" w:rsidP="00D35F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>Допустимо ли е за доказване пазарната цена на разход за гориво за периода (01.02</w:t>
            </w:r>
            <w:r w:rsidR="009E05FD">
              <w:rPr>
                <w:rFonts w:ascii="Times New Roman" w:hAnsi="Times New Roman" w:cs="Times New Roman"/>
                <w:sz w:val="24"/>
                <w:szCs w:val="24"/>
              </w:rPr>
              <w:t xml:space="preserve">.2020 г. </w:t>
            </w: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0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  <w:r w:rsidR="009E0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>г.) на обща стойност</w:t>
            </w:r>
            <w:r w:rsidR="009E0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>29 900,00 лв. без ДДС да се представи извадка от сайт със средна цена на горивото в страната за съответен ден или</w:t>
            </w:r>
            <w:r w:rsidRPr="00AC4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5FC5">
              <w:rPr>
                <w:rFonts w:ascii="Times New Roman" w:hAnsi="Times New Roman" w:cs="Times New Roman"/>
                <w:sz w:val="24"/>
                <w:szCs w:val="24"/>
              </w:rPr>
              <w:t>период?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D8" w:rsidRPr="00531D82" w:rsidRDefault="009E05FD" w:rsidP="008B5186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Представянето на справка, която да съдържа информация за цените на горивата в отчетния период е приемливо доказателство за извършено пазарно проучване за доказване на изискването за пазарна цена на извършените доставки</w:t>
            </w:r>
          </w:p>
        </w:tc>
      </w:tr>
      <w:tr w:rsidR="00AC4ED8" w:rsidRPr="00531D82" w:rsidTr="008B5186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D8" w:rsidRPr="00AC4ED8" w:rsidRDefault="00BF094B" w:rsidP="008B51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D8" w:rsidRDefault="00AC4ED8" w:rsidP="008B5186">
            <w:pPr>
              <w:jc w:val="center"/>
              <w:rPr>
                <w:b/>
              </w:rPr>
            </w:pPr>
            <w:r>
              <w:rPr>
                <w:b/>
              </w:rPr>
              <w:t>14.01.2021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D8" w:rsidRPr="00AC4ED8" w:rsidRDefault="00AC4ED8" w:rsidP="009E0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>В случай, че в</w:t>
            </w:r>
            <w:r w:rsidR="009E0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>рамките на отчетния период фирмата е получила средства по мярка „Запази ме” на агенцията по заетостта, които се</w:t>
            </w:r>
            <w:r w:rsidR="009E0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>изплащат директно на служителите ще бъдат ли допустими разходите за възнаграждения и осигуровки за сметка на</w:t>
            </w:r>
            <w:r w:rsidR="009E0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>работодателя настоящата схема (BG16RFOP002-2.091).</w:t>
            </w:r>
          </w:p>
          <w:p w:rsidR="00AC4ED8" w:rsidRPr="009E05FD" w:rsidRDefault="00AC4ED8" w:rsidP="009E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E05FD">
              <w:rPr>
                <w:rFonts w:ascii="Times New Roman" w:hAnsi="Times New Roman" w:cs="Times New Roman"/>
                <w:sz w:val="24"/>
                <w:szCs w:val="24"/>
              </w:rPr>
              <w:t>ясняваме, че помощта по мярка "З</w:t>
            </w: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 xml:space="preserve">апази ме" </w:t>
            </w:r>
            <w:r w:rsidR="009E05FD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>изплаща директно на служителите, а не на работодателя</w:t>
            </w:r>
            <w:r w:rsidR="009E0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>(бенефициента).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4E" w:rsidRPr="00EF1C4E" w:rsidRDefault="00EF1C4E" w:rsidP="00EF1C4E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 w:rsidRPr="00EF1C4E">
              <w:rPr>
                <w:rFonts w:ascii="Times New Roman" w:hAnsi="Times New Roman"/>
                <w:szCs w:val="24"/>
              </w:rPr>
              <w:t xml:space="preserve">Разходите за възнаграждения на персона и осигуровки за сметка на работодателя са допустими за финансиране по настоящата схема при спазване на изискването бенефициентът да не е извършвал разходи за персонал, които са получили публично финансиране в рамките на схеми за изплащане на компенсации за запазване на заетостта (съгласно ПМС № 55/30.03.2020 г., ПМС № 151/03.07.2020 г.), схема за заетост по чл. 51, ал. 1 от ЗНЗ, операции на ОПРЧР за подкрепа наемането на безработни и неактивни лица и др. през периода на допустимост на разходите </w:t>
            </w:r>
            <w:r w:rsidRPr="00EF1C4E">
              <w:rPr>
                <w:rFonts w:ascii="Times New Roman" w:hAnsi="Times New Roman"/>
                <w:szCs w:val="24"/>
                <w:lang w:val="en-US"/>
              </w:rPr>
              <w:t>(</w:t>
            </w:r>
            <w:r w:rsidRPr="00EF1C4E">
              <w:rPr>
                <w:rFonts w:ascii="Times New Roman" w:hAnsi="Times New Roman"/>
                <w:szCs w:val="24"/>
              </w:rPr>
              <w:t>след 01.02.2020 г. и до крайната дата на изпълнение на заявлението за подкрепа</w:t>
            </w:r>
            <w:r w:rsidRPr="00EF1C4E">
              <w:rPr>
                <w:rFonts w:ascii="Times New Roman" w:hAnsi="Times New Roman"/>
                <w:szCs w:val="24"/>
                <w:lang w:val="en-US"/>
              </w:rPr>
              <w:t>)</w:t>
            </w:r>
            <w:r w:rsidRPr="00EF1C4E">
              <w:rPr>
                <w:rFonts w:ascii="Times New Roman" w:hAnsi="Times New Roman"/>
                <w:szCs w:val="24"/>
              </w:rPr>
              <w:t>.</w:t>
            </w:r>
          </w:p>
          <w:p w:rsidR="00EF1C4E" w:rsidRPr="00EF1C4E" w:rsidRDefault="00EF1C4E" w:rsidP="00EF1C4E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 w:rsidRPr="00EF1C4E">
              <w:rPr>
                <w:rFonts w:ascii="Times New Roman" w:hAnsi="Times New Roman"/>
                <w:szCs w:val="24"/>
              </w:rPr>
              <w:t>По мярка „Запази ме” на Агенцията по Заетостта се осигурява изплащане на компенсации на заети лица, които в определен период са в неплатен отпуск т.е. това не е публично финансиране, изплатено на бенефициента за покриване на извършени от него разходи.</w:t>
            </w:r>
          </w:p>
          <w:p w:rsidR="00AC4ED8" w:rsidRPr="00531D82" w:rsidRDefault="00AC4ED8" w:rsidP="00EF1C4E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C4ED8" w:rsidRPr="00531D82" w:rsidTr="008B5186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D8" w:rsidRPr="00AC4ED8" w:rsidRDefault="00AC4ED8" w:rsidP="00AC4ED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3</w:t>
            </w:r>
            <w:r w:rsidR="00BF094B">
              <w:rPr>
                <w:b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D8" w:rsidRDefault="00AC4ED8" w:rsidP="008B5186">
            <w:pPr>
              <w:jc w:val="center"/>
              <w:rPr>
                <w:b/>
              </w:rPr>
            </w:pPr>
            <w:r>
              <w:rPr>
                <w:b/>
              </w:rPr>
              <w:t>14.01.2021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D8" w:rsidRPr="00AC4ED8" w:rsidRDefault="00AC4ED8" w:rsidP="00AC4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>Допустими ли са разходите за гражданска отговорност на МПС на бенефициента, които се заплащат на застрахователни компании, защото това е сериозно перо за функционирането на дружеството.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FE" w:rsidRPr="003F15B3" w:rsidRDefault="00184AFE" w:rsidP="00184AFE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  <w:lang w:eastAsia="bg-BG"/>
              </w:rPr>
            </w:pPr>
            <w:r w:rsidRPr="003F15B3">
              <w:rPr>
                <w:rFonts w:ascii="Times New Roman" w:hAnsi="Times New Roman"/>
                <w:szCs w:val="24"/>
                <w:lang w:eastAsia="bg-BG"/>
              </w:rPr>
              <w:t>Предоставените по схемата средства следва да бъдат използвани за покриване на текущите нужди на кандидатите и извършване на разходи за оперативен капитал, чиято стойност се калкулира в стойността на предоставяната транспортна услуга.</w:t>
            </w:r>
          </w:p>
          <w:p w:rsidR="00AC4ED8" w:rsidRPr="00531D82" w:rsidRDefault="00184AFE" w:rsidP="00184AFE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Недопустими за финансиране по схемата са административни разходи, които не са пряко свързани с предоставената транспортна услуга и не се калкулират в нейната себестойност.</w:t>
            </w:r>
          </w:p>
        </w:tc>
      </w:tr>
      <w:tr w:rsidR="00D35FC5" w:rsidRPr="00531D82" w:rsidTr="008B5186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5" w:rsidRPr="00D35FC5" w:rsidRDefault="00BF094B" w:rsidP="00D35FC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5" w:rsidRDefault="00D35FC5" w:rsidP="008B5186">
            <w:pPr>
              <w:jc w:val="center"/>
              <w:rPr>
                <w:b/>
              </w:rPr>
            </w:pPr>
            <w:r>
              <w:rPr>
                <w:b/>
              </w:rPr>
              <w:t>14.01.2021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5" w:rsidRPr="00AC4ED8" w:rsidRDefault="00D35FC5" w:rsidP="00D35F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>Допустимо ли е да бъдат отчетени разходи за гориво за 29 900,00 лв. без ДДС за периода 01.02</w:t>
            </w:r>
            <w:r w:rsidR="00184AFE">
              <w:rPr>
                <w:rFonts w:ascii="Times New Roman" w:hAnsi="Times New Roman" w:cs="Times New Roman"/>
                <w:sz w:val="24"/>
                <w:szCs w:val="24"/>
              </w:rPr>
              <w:t xml:space="preserve">.2020 г. </w:t>
            </w: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>-30.09.2020</w:t>
            </w:r>
            <w:r w:rsidR="0018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>г. и да се</w:t>
            </w:r>
            <w:r w:rsidRPr="00AC4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>проведе процедура за избор на изпълнител за доставка на гориво за периода от обявяване на процедурата до</w:t>
            </w:r>
            <w:r w:rsidRPr="00AC4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 xml:space="preserve">крайната дата на изпълнение на проекта ни за още 30 000,00 лева? 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5" w:rsidRPr="00184AFE" w:rsidRDefault="00184AFE" w:rsidP="008B5186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 w:rsidRPr="00184AFE">
              <w:rPr>
                <w:rFonts w:ascii="Times New Roman" w:hAnsi="Times New Roman"/>
              </w:rPr>
              <w:t>ДА. В случай че общата стойност на заявените разходи (за доставки или услуги с идентичен или сходен предмет), които обхващат периода преди обявяването на схемата и периода след това, надвишават регламентираните прагове, крайният ползвател на помощта следва да проведе избор на изпълнител с „Публична покана“ съгласно разпоредбите на ПМС № 160/01.07.2016 г.. Процедурата се провежда само за стойността на разходите, заявени за периода от обявяването на процедурата до приключване изпълнение на проекта.</w:t>
            </w:r>
          </w:p>
        </w:tc>
      </w:tr>
      <w:tr w:rsidR="00D35FC5" w:rsidRPr="00531D82" w:rsidTr="008B5186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5" w:rsidRPr="00D35FC5" w:rsidRDefault="00BF094B" w:rsidP="00D35FC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5" w:rsidRDefault="00D35FC5" w:rsidP="008B5186">
            <w:pPr>
              <w:jc w:val="center"/>
              <w:rPr>
                <w:b/>
              </w:rPr>
            </w:pPr>
            <w:r>
              <w:rPr>
                <w:b/>
              </w:rPr>
              <w:t>14.01.2021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5" w:rsidRPr="00AC4ED8" w:rsidRDefault="00D35FC5" w:rsidP="008B51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>Бихме желали да отчетем по проекта разходи за резервни части. Закупуването и доставка на гориво и на резервни</w:t>
            </w:r>
            <w:r w:rsidRPr="00AC4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>части приемат ли се, че са с идентичен или сходен предмет или се считат за различен вид разход и можем да отчетем</w:t>
            </w:r>
            <w:r w:rsidRPr="00AC4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4ED8">
              <w:rPr>
                <w:rFonts w:ascii="Times New Roman" w:hAnsi="Times New Roman" w:cs="Times New Roman"/>
                <w:sz w:val="24"/>
                <w:szCs w:val="24"/>
              </w:rPr>
              <w:t>за всеки по 29 900 лева само с по 2 оферти?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5" w:rsidRPr="00A02B8B" w:rsidRDefault="00A02B8B" w:rsidP="00A0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8B">
              <w:rPr>
                <w:rFonts w:ascii="Times New Roman" w:hAnsi="Times New Roman" w:cs="Times New Roman"/>
                <w:sz w:val="24"/>
                <w:szCs w:val="24"/>
              </w:rPr>
              <w:t>Закупуването на горива и закупуването на резервни части не са идентични и се считат за различен вид разход т.е. за всеки от тях цената следва да е пазарна, за доказването на което следва да се представят не по-малко от две съпоставими оферти, пазарно проучване или друго доказат</w:t>
            </w:r>
            <w:r w:rsidR="001E0A19">
              <w:rPr>
                <w:rFonts w:ascii="Times New Roman" w:hAnsi="Times New Roman" w:cs="Times New Roman"/>
                <w:sz w:val="24"/>
                <w:szCs w:val="24"/>
              </w:rPr>
              <w:t xml:space="preserve">елство за съответната отчетена </w:t>
            </w:r>
            <w:proofErr w:type="spellStart"/>
            <w:r w:rsidR="001E0A19">
              <w:rPr>
                <w:rFonts w:ascii="Times New Roman" w:hAnsi="Times New Roman" w:cs="Times New Roman"/>
                <w:sz w:val="24"/>
                <w:szCs w:val="24"/>
              </w:rPr>
              <w:t>доставвка</w:t>
            </w:r>
            <w:proofErr w:type="spellEnd"/>
            <w:r w:rsidR="001E0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792" w:rsidRPr="00A02B8B" w:rsidTr="007931A2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2" w:rsidRPr="00D35FC5" w:rsidRDefault="008E3792" w:rsidP="007931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2" w:rsidRDefault="008E3792" w:rsidP="007931A2">
            <w:pPr>
              <w:jc w:val="center"/>
              <w:rPr>
                <w:b/>
              </w:rPr>
            </w:pPr>
            <w:r>
              <w:rPr>
                <w:b/>
              </w:rPr>
              <w:t>14.01.2021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2" w:rsidRPr="008E3792" w:rsidRDefault="008E3792" w:rsidP="008E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92">
              <w:rPr>
                <w:rFonts w:ascii="Times New Roman" w:hAnsi="Times New Roman" w:cs="Times New Roman"/>
                <w:sz w:val="24"/>
                <w:szCs w:val="24"/>
              </w:rPr>
              <w:t>Относно разходите направени преди 21.10.2020 г., за които не е необходим избор на изпълнител по ПМС 160 се взимат предвид датите на издадените фактури в този период (дата на данъчното събитие), а не направените плащания по тях? Една фактура издадена в септ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ември, но </w:t>
            </w:r>
            <w:r w:rsidRPr="008E3792">
              <w:rPr>
                <w:rFonts w:ascii="Times New Roman" w:hAnsi="Times New Roman" w:cs="Times New Roman"/>
                <w:sz w:val="24"/>
                <w:szCs w:val="24"/>
              </w:rPr>
              <w:t>платена в ноември влиза в периода преди 21.10.2020 г. нали?</w:t>
            </w:r>
          </w:p>
          <w:p w:rsidR="008E3792" w:rsidRPr="008E3792" w:rsidRDefault="008E3792" w:rsidP="008E37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2" w:rsidRDefault="0036159E" w:rsidP="00793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извършени доставки и услуги за дата на извършване на разхода се счита датата на данъчното събитие, посочена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разходооправдателните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документи.</w:t>
            </w:r>
          </w:p>
          <w:p w:rsidR="0036159E" w:rsidRPr="0036159E" w:rsidRDefault="0036159E" w:rsidP="00793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за допустимостта на разходите е те да бъдат изцяло платени от бенефициента.</w:t>
            </w:r>
          </w:p>
        </w:tc>
      </w:tr>
      <w:tr w:rsidR="0036159E" w:rsidRPr="00A02B8B" w:rsidTr="0036159E">
        <w:trPr>
          <w:trHeight w:val="145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E" w:rsidRPr="00D35FC5" w:rsidRDefault="0036159E" w:rsidP="007931A2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E" w:rsidRDefault="0036159E" w:rsidP="007931A2">
            <w:pPr>
              <w:jc w:val="center"/>
              <w:rPr>
                <w:b/>
              </w:rPr>
            </w:pPr>
            <w:r>
              <w:rPr>
                <w:b/>
              </w:rPr>
              <w:t>14.01.2021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E" w:rsidRDefault="0036159E" w:rsidP="00793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Следните разходи допустими ли са:</w:t>
            </w:r>
          </w:p>
          <w:p w:rsidR="0036159E" w:rsidRDefault="0036159E" w:rsidP="0036159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Разходи за мобилни услуги</w:t>
            </w:r>
          </w:p>
          <w:p w:rsidR="0036159E" w:rsidRDefault="0036159E" w:rsidP="0036159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Разходи за компютърни услуги</w:t>
            </w:r>
          </w:p>
          <w:p w:rsidR="0036159E" w:rsidRDefault="0036159E" w:rsidP="0036159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Разходи за застраховки „Каско“ и гражданска отговорност</w:t>
            </w:r>
          </w:p>
          <w:p w:rsidR="0036159E" w:rsidRDefault="0036159E" w:rsidP="0036159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Разходи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винетни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стикери в страната и чужбина</w:t>
            </w:r>
          </w:p>
          <w:p w:rsidR="0036159E" w:rsidRDefault="0036159E" w:rsidP="0036159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Разходи за магистрали в чужбина</w:t>
            </w:r>
          </w:p>
          <w:p w:rsidR="0036159E" w:rsidRDefault="0036159E" w:rsidP="0036159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Такси за паркинг и престой</w:t>
            </w:r>
          </w:p>
          <w:p w:rsidR="0036159E" w:rsidRDefault="0036159E" w:rsidP="0036159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Услуги по ремонт на автобуси и резервни части</w:t>
            </w:r>
          </w:p>
          <w:p w:rsidR="0036159E" w:rsidRPr="0036159E" w:rsidRDefault="0036159E" w:rsidP="0036159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Към разходите за автобуси спадат ли допустимите материали и консумативи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B" w:rsidRPr="003F15B3" w:rsidRDefault="00F66EBB" w:rsidP="00F66EBB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  <w:lang w:eastAsia="bg-BG"/>
              </w:rPr>
            </w:pPr>
            <w:r w:rsidRPr="003F15B3">
              <w:rPr>
                <w:rFonts w:ascii="Times New Roman" w:hAnsi="Times New Roman"/>
                <w:szCs w:val="24"/>
                <w:lang w:eastAsia="bg-BG"/>
              </w:rPr>
              <w:t>Предоставените по схемата средства следва да бъдат използвани за покриване на текущите нужди на кандидатите и извършване на разходи за оперативен капитал, чиято стойност се калкулира в стойността на предоставяната транспортна услуга.</w:t>
            </w:r>
          </w:p>
          <w:p w:rsidR="0036159E" w:rsidRPr="00A02B8B" w:rsidRDefault="00F66EBB" w:rsidP="00F6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Недопустими за финансиране по схемата са административни разходи, които не са пряко свързани с предоставената транспортна услуга и не се калкулират в нейната себестойност, каквито са </w:t>
            </w:r>
            <w:r w:rsidR="00EB4B28">
              <w:rPr>
                <w:rFonts w:ascii="Times New Roman" w:hAnsi="Times New Roman"/>
                <w:szCs w:val="24"/>
              </w:rPr>
              <w:t xml:space="preserve">например </w:t>
            </w:r>
            <w:r>
              <w:rPr>
                <w:rFonts w:ascii="Times New Roman" w:hAnsi="Times New Roman"/>
                <w:szCs w:val="24"/>
              </w:rPr>
              <w:t>разходите за мобилни и компютърни услуги.</w:t>
            </w:r>
          </w:p>
        </w:tc>
      </w:tr>
    </w:tbl>
    <w:p w:rsidR="00D847E3" w:rsidRDefault="00D847E3" w:rsidP="006903BC"/>
    <w:sectPr w:rsidR="00D847E3" w:rsidSect="005B6893">
      <w:headerReference w:type="default" r:id="rId7"/>
      <w:footerReference w:type="default" r:id="rId8"/>
      <w:pgSz w:w="16838" w:h="11906" w:orient="landscape"/>
      <w:pgMar w:top="2705" w:right="678" w:bottom="1417" w:left="1417" w:header="284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23" w:rsidRDefault="00E75323" w:rsidP="001F138F">
      <w:pPr>
        <w:spacing w:after="0" w:line="240" w:lineRule="auto"/>
      </w:pPr>
      <w:r>
        <w:separator/>
      </w:r>
    </w:p>
  </w:endnote>
  <w:endnote w:type="continuationSeparator" w:id="0">
    <w:p w:rsidR="00E75323" w:rsidRDefault="00E75323" w:rsidP="001F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3" w:rsidRPr="006049C7" w:rsidRDefault="005B6893" w:rsidP="005B6893">
    <w:pPr>
      <w:pStyle w:val="Footer"/>
      <w:jc w:val="both"/>
      <w:rPr>
        <w:sz w:val="24"/>
        <w:szCs w:val="24"/>
      </w:rPr>
    </w:pPr>
    <w:r w:rsidRPr="005B6893">
      <w:rPr>
        <w:b/>
        <w:sz w:val="20"/>
        <w:szCs w:val="20"/>
      </w:rPr>
      <w:t>Схемата BG16RFOP002-2.091 е обявена в изпълнение на процедура чрез директно предоставяне BG16RFOP002-2.079 „Подкрепа за МСП, извършващи автобусни превози, за преодоляване на икономическите последствия от COVID-19 чрез прилагане на схема за подпомагане от Министерството на транспорта, информационните технологии и съобщенията (МТИТС)“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6049C7">
      <w:rPr>
        <w:sz w:val="24"/>
        <w:szCs w:val="24"/>
      </w:rPr>
      <w:t xml:space="preserve">стр. </w:t>
    </w:r>
    <w:sdt>
      <w:sdtPr>
        <w:rPr>
          <w:sz w:val="24"/>
          <w:szCs w:val="24"/>
        </w:rPr>
        <w:id w:val="-1042741199"/>
        <w:docPartObj>
          <w:docPartGallery w:val="Page Numbers (Bottom of Page)"/>
          <w:docPartUnique/>
        </w:docPartObj>
      </w:sdtPr>
      <w:sdtEndPr/>
      <w:sdtContent>
        <w:r w:rsidRPr="006049C7">
          <w:rPr>
            <w:sz w:val="24"/>
            <w:szCs w:val="24"/>
          </w:rPr>
          <w:fldChar w:fldCharType="begin"/>
        </w:r>
        <w:r w:rsidRPr="006049C7">
          <w:rPr>
            <w:sz w:val="24"/>
            <w:szCs w:val="24"/>
          </w:rPr>
          <w:instrText>PAGE   \* MERGEFORMAT</w:instrText>
        </w:r>
        <w:r w:rsidRPr="006049C7">
          <w:rPr>
            <w:sz w:val="24"/>
            <w:szCs w:val="24"/>
          </w:rPr>
          <w:fldChar w:fldCharType="separate"/>
        </w:r>
        <w:r w:rsidR="00403AD8">
          <w:rPr>
            <w:noProof/>
            <w:sz w:val="24"/>
            <w:szCs w:val="24"/>
          </w:rPr>
          <w:t>6</w:t>
        </w:r>
        <w:r w:rsidRPr="006049C7">
          <w:rPr>
            <w:sz w:val="24"/>
            <w:szCs w:val="24"/>
          </w:rPr>
          <w:fldChar w:fldCharType="end"/>
        </w:r>
      </w:sdtContent>
    </w:sdt>
  </w:p>
  <w:p w:rsidR="009410AD" w:rsidRDefault="00941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23" w:rsidRDefault="00E75323" w:rsidP="001F138F">
      <w:pPr>
        <w:spacing w:after="0" w:line="240" w:lineRule="auto"/>
      </w:pPr>
      <w:r>
        <w:separator/>
      </w:r>
    </w:p>
  </w:footnote>
  <w:footnote w:type="continuationSeparator" w:id="0">
    <w:p w:rsidR="00E75323" w:rsidRDefault="00E75323" w:rsidP="001F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38F" w:rsidRDefault="001F138F" w:rsidP="001F138F">
    <w:pPr>
      <w:pStyle w:val="Header"/>
      <w:tabs>
        <w:tab w:val="clear" w:pos="9072"/>
      </w:tabs>
    </w:pPr>
    <w:r>
      <w:tab/>
    </w:r>
    <w:r>
      <w:tab/>
    </w:r>
  </w:p>
  <w:p w:rsidR="001F138F" w:rsidRPr="00356B86" w:rsidRDefault="001F138F" w:rsidP="001F138F">
    <w:pPr>
      <w:tabs>
        <w:tab w:val="center" w:pos="9498"/>
      </w:tabs>
      <w:spacing w:after="0" w:line="240" w:lineRule="auto"/>
    </w:pP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FBD6A1" wp14:editId="0165B3E9">
              <wp:simplePos x="0" y="0"/>
              <wp:positionH relativeFrom="column">
                <wp:posOffset>1577340</wp:posOffset>
              </wp:positionH>
              <wp:positionV relativeFrom="paragraph">
                <wp:posOffset>10160</wp:posOffset>
              </wp:positionV>
              <wp:extent cx="5028565" cy="1404620"/>
              <wp:effectExtent l="0" t="0" r="63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85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38F" w:rsidRPr="001F138F" w:rsidRDefault="0036045B" w:rsidP="001F138F">
                          <w:pPr>
                            <w:shd w:val="clear" w:color="auto" w:fill="FFFFFF" w:themeFill="background1"/>
                            <w:spacing w:after="24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t>ПОСТЪПИЛИ ВЪПРОСИ ОТ</w:t>
                          </w:r>
                          <w:r w:rsidR="00F87713">
                            <w:t xml:space="preserve"> БЕНЕФИЦИЕНТИ</w:t>
                          </w:r>
                          <w:r>
                            <w:t xml:space="preserve"> И РАЗЯСНЕНИЯ ПО ТЯХ ПО ПРОЦЕДУРА </w:t>
                          </w:r>
                          <w:r w:rsidR="001F138F" w:rsidRPr="002756E4">
                            <w:rPr>
                              <w:b/>
                              <w:sz w:val="28"/>
                              <w:szCs w:val="28"/>
                            </w:rPr>
                            <w:t>BG16RFOP002-</w:t>
                          </w:r>
                          <w:r w:rsidR="001F138F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2</w:t>
                          </w:r>
                          <w:r w:rsidR="001F138F">
                            <w:rPr>
                              <w:b/>
                              <w:sz w:val="28"/>
                              <w:szCs w:val="28"/>
                            </w:rPr>
                            <w:t>.091</w:t>
                          </w:r>
                          <w:r w:rsidR="001F138F" w:rsidRPr="002A2065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 w:rsidR="001F138F" w:rsidRPr="00737518">
                            <w:rPr>
                              <w:b/>
                              <w:sz w:val="28"/>
                              <w:szCs w:val="28"/>
                            </w:rPr>
                            <w:t>„Подкрепа за МСП, извършващи автобусни превози, за преодоляване на икономическите последствия от пандемията COVID-19“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FBD6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2pt;margin-top:.8pt;width:395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NDIQ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" stroked="f">
              <v:textbox style="mso-fit-shape-to-text:t">
                <w:txbxContent>
                  <w:p w:rsidR="001F138F" w:rsidRPr="001F138F" w:rsidRDefault="0036045B" w:rsidP="001F138F">
                    <w:pPr>
                      <w:shd w:val="clear" w:color="auto" w:fill="FFFFFF" w:themeFill="background1"/>
                      <w:spacing w:after="24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t>ПОСТЪПИЛИ ВЪПРОСИ ОТ</w:t>
                    </w:r>
                    <w:r w:rsidR="00F87713">
                      <w:t xml:space="preserve"> БЕНЕФИЦИЕНТИ</w:t>
                    </w:r>
                    <w:r>
                      <w:t xml:space="preserve"> И РАЗЯСНЕНИЯ ПО ТЯХ ПО ПРОЦЕДУРА </w:t>
                    </w:r>
                    <w:r w:rsidR="001F138F" w:rsidRPr="002756E4">
                      <w:rPr>
                        <w:b/>
                        <w:sz w:val="28"/>
                        <w:szCs w:val="28"/>
                      </w:rPr>
                      <w:t>BG16RFOP002-</w:t>
                    </w:r>
                    <w:r w:rsidR="001F138F">
                      <w:rPr>
                        <w:b/>
                        <w:sz w:val="28"/>
                        <w:szCs w:val="28"/>
                        <w:lang w:val="en-US"/>
                      </w:rPr>
                      <w:t>2</w:t>
                    </w:r>
                    <w:r w:rsidR="001F138F">
                      <w:rPr>
                        <w:b/>
                        <w:sz w:val="28"/>
                        <w:szCs w:val="28"/>
                      </w:rPr>
                      <w:t>.091</w:t>
                    </w:r>
                    <w:r w:rsidR="001F138F" w:rsidRPr="002A2065">
                      <w:rPr>
                        <w:b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="001F138F" w:rsidRPr="00737518">
                      <w:rPr>
                        <w:b/>
                        <w:sz w:val="28"/>
                        <w:szCs w:val="28"/>
                      </w:rPr>
                      <w:t>„Подкрепа за МСП, извършващи автобусни превози, за преодоляване на икономическите последствия от пандемията COVID-19“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60E7E">
      <w:rPr>
        <w:noProof/>
        <w:lang w:eastAsia="bg-BG"/>
      </w:rPr>
      <w:drawing>
        <wp:inline distT="0" distB="0" distL="0" distR="0" wp14:anchorId="35B3A7D2" wp14:editId="4839E347">
          <wp:extent cx="967740" cy="669925"/>
          <wp:effectExtent l="0" t="0" r="3810" b="0"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6B86">
      <w:tab/>
    </w:r>
    <w:r w:rsidRPr="00356B86">
      <w:tab/>
    </w:r>
    <w:r w:rsidRPr="00BA4FED">
      <w:rPr>
        <w:rFonts w:ascii="Times New Roman" w:eastAsia="Times New Roman" w:hAnsi="Times New Roman"/>
        <w:noProof/>
        <w:sz w:val="24"/>
        <w:szCs w:val="24"/>
        <w:lang w:eastAsia="bg-BG"/>
      </w:rPr>
      <w:drawing>
        <wp:inline distT="0" distB="0" distL="0" distR="0" wp14:anchorId="6FD104BD" wp14:editId="40AFC0B8">
          <wp:extent cx="2147570" cy="659130"/>
          <wp:effectExtent l="0" t="0" r="5080" b="7620"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138F" w:rsidRDefault="001F138F" w:rsidP="001F138F">
    <w:pPr>
      <w:tabs>
        <w:tab w:val="center" w:pos="4703"/>
        <w:tab w:val="right" w:pos="9406"/>
      </w:tabs>
      <w:spacing w:after="0" w:line="240" w:lineRule="auto"/>
      <w:rPr>
        <w:b/>
        <w:sz w:val="20"/>
        <w:szCs w:val="20"/>
      </w:rPr>
    </w:pPr>
    <w:r w:rsidRPr="00356B86">
      <w:rPr>
        <w:b/>
        <w:sz w:val="20"/>
        <w:szCs w:val="20"/>
      </w:rPr>
      <w:t>Европейски съюз</w:t>
    </w:r>
  </w:p>
  <w:p w:rsidR="001F138F" w:rsidRDefault="001F138F" w:rsidP="001F138F">
    <w:pPr>
      <w:tabs>
        <w:tab w:val="center" w:pos="4703"/>
        <w:tab w:val="right" w:pos="9406"/>
      </w:tabs>
      <w:spacing w:after="0" w:line="240" w:lineRule="auto"/>
      <w:rPr>
        <w:b/>
        <w:sz w:val="20"/>
        <w:szCs w:val="20"/>
      </w:rPr>
    </w:pPr>
    <w:r>
      <w:rPr>
        <w:b/>
        <w:sz w:val="20"/>
        <w:szCs w:val="20"/>
      </w:rPr>
      <w:t>Европейски фонд за</w:t>
    </w:r>
  </w:p>
  <w:p w:rsidR="001F138F" w:rsidRPr="001F138F" w:rsidRDefault="001F138F" w:rsidP="001F138F">
    <w:pPr>
      <w:tabs>
        <w:tab w:val="center" w:pos="4703"/>
        <w:tab w:val="right" w:pos="9406"/>
      </w:tabs>
      <w:spacing w:after="0" w:line="240" w:lineRule="auto"/>
      <w:rPr>
        <w:b/>
        <w:sz w:val="20"/>
        <w:szCs w:val="20"/>
      </w:rPr>
    </w:pPr>
    <w:r>
      <w:rPr>
        <w:b/>
        <w:sz w:val="20"/>
        <w:szCs w:val="20"/>
      </w:rPr>
      <w:t>регионално развитие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6.5pt;height:145.5pt" o:bullet="t">
        <v:imagedata r:id="rId1" o:title="Untitled"/>
      </v:shape>
    </w:pict>
  </w:numPicBullet>
  <w:abstractNum w:abstractNumId="0" w15:restartNumberingAfterBreak="0">
    <w:nsid w:val="05A66EB3"/>
    <w:multiLevelType w:val="hybridMultilevel"/>
    <w:tmpl w:val="6DFCE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51E5"/>
    <w:multiLevelType w:val="hybridMultilevel"/>
    <w:tmpl w:val="D638AE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9C4"/>
    <w:multiLevelType w:val="hybridMultilevel"/>
    <w:tmpl w:val="61EE41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E62BF"/>
    <w:multiLevelType w:val="hybridMultilevel"/>
    <w:tmpl w:val="BD5CE6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277DF"/>
    <w:multiLevelType w:val="hybridMultilevel"/>
    <w:tmpl w:val="B44C65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47B07"/>
    <w:multiLevelType w:val="hybridMultilevel"/>
    <w:tmpl w:val="1EC84278"/>
    <w:lvl w:ilvl="0" w:tplc="9CF6F5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21A33"/>
    <w:multiLevelType w:val="hybridMultilevel"/>
    <w:tmpl w:val="20B29F98"/>
    <w:lvl w:ilvl="0" w:tplc="9CF6F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06820"/>
    <w:multiLevelType w:val="hybridMultilevel"/>
    <w:tmpl w:val="B1F0DC04"/>
    <w:lvl w:ilvl="0" w:tplc="78F27A7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F53D5"/>
    <w:multiLevelType w:val="hybridMultilevel"/>
    <w:tmpl w:val="B29CBDE6"/>
    <w:lvl w:ilvl="0" w:tplc="AD3A3CC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26CE2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220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26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367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744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8F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EB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788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F7346"/>
    <w:multiLevelType w:val="hybridMultilevel"/>
    <w:tmpl w:val="0CCE93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C6494"/>
    <w:multiLevelType w:val="hybridMultilevel"/>
    <w:tmpl w:val="7D92D2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F0B7D"/>
    <w:multiLevelType w:val="hybridMultilevel"/>
    <w:tmpl w:val="BD5CE6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04CEF"/>
    <w:multiLevelType w:val="multilevel"/>
    <w:tmpl w:val="291EB524"/>
    <w:lvl w:ilvl="0">
      <w:start w:val="1"/>
      <w:numFmt w:val="decimal"/>
      <w:pStyle w:val="Bodyal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5729754C"/>
    <w:multiLevelType w:val="hybridMultilevel"/>
    <w:tmpl w:val="BD5CE6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74D"/>
    <w:multiLevelType w:val="hybridMultilevel"/>
    <w:tmpl w:val="6EBE03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14D80"/>
    <w:multiLevelType w:val="hybridMultilevel"/>
    <w:tmpl w:val="4FC6CF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96C57"/>
    <w:multiLevelType w:val="hybridMultilevel"/>
    <w:tmpl w:val="BD5CE6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15B6E"/>
    <w:multiLevelType w:val="hybridMultilevel"/>
    <w:tmpl w:val="784697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C0FE5"/>
    <w:multiLevelType w:val="hybridMultilevel"/>
    <w:tmpl w:val="4F249296"/>
    <w:lvl w:ilvl="0" w:tplc="CC348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E37911"/>
    <w:multiLevelType w:val="hybridMultilevel"/>
    <w:tmpl w:val="BD5CE6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8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  <w:num w:numId="12">
    <w:abstractNumId w:val="17"/>
  </w:num>
  <w:num w:numId="13">
    <w:abstractNumId w:val="15"/>
  </w:num>
  <w:num w:numId="14">
    <w:abstractNumId w:val="8"/>
  </w:num>
  <w:num w:numId="15">
    <w:abstractNumId w:val="12"/>
  </w:num>
  <w:num w:numId="16">
    <w:abstractNumId w:val="7"/>
  </w:num>
  <w:num w:numId="17">
    <w:abstractNumId w:val="19"/>
  </w:num>
  <w:num w:numId="18">
    <w:abstractNumId w:val="1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12"/>
    <w:rsid w:val="00007A83"/>
    <w:rsid w:val="000158FD"/>
    <w:rsid w:val="00030A02"/>
    <w:rsid w:val="000318B4"/>
    <w:rsid w:val="00041048"/>
    <w:rsid w:val="00090C76"/>
    <w:rsid w:val="00097947"/>
    <w:rsid w:val="000A1B66"/>
    <w:rsid w:val="000B65C9"/>
    <w:rsid w:val="000C353E"/>
    <w:rsid w:val="000E748B"/>
    <w:rsid w:val="000F1E78"/>
    <w:rsid w:val="00121315"/>
    <w:rsid w:val="00140CA4"/>
    <w:rsid w:val="0014736C"/>
    <w:rsid w:val="00153C43"/>
    <w:rsid w:val="001573CF"/>
    <w:rsid w:val="00171115"/>
    <w:rsid w:val="00184AFE"/>
    <w:rsid w:val="001B5F9C"/>
    <w:rsid w:val="001B6F8D"/>
    <w:rsid w:val="001D22FB"/>
    <w:rsid w:val="001D4587"/>
    <w:rsid w:val="001D567C"/>
    <w:rsid w:val="001E0A19"/>
    <w:rsid w:val="001E1FF0"/>
    <w:rsid w:val="001F138F"/>
    <w:rsid w:val="0020047D"/>
    <w:rsid w:val="00206067"/>
    <w:rsid w:val="00231E9C"/>
    <w:rsid w:val="00257646"/>
    <w:rsid w:val="002741A2"/>
    <w:rsid w:val="0028090A"/>
    <w:rsid w:val="002A7245"/>
    <w:rsid w:val="002D5638"/>
    <w:rsid w:val="002E22D4"/>
    <w:rsid w:val="002F4868"/>
    <w:rsid w:val="0030299F"/>
    <w:rsid w:val="0031452A"/>
    <w:rsid w:val="00331BB9"/>
    <w:rsid w:val="00331BE2"/>
    <w:rsid w:val="003540DE"/>
    <w:rsid w:val="0036045B"/>
    <w:rsid w:val="0036159E"/>
    <w:rsid w:val="003858F6"/>
    <w:rsid w:val="003A3B31"/>
    <w:rsid w:val="003A5C39"/>
    <w:rsid w:val="003E3679"/>
    <w:rsid w:val="003F15B3"/>
    <w:rsid w:val="00403AD8"/>
    <w:rsid w:val="00421CB8"/>
    <w:rsid w:val="0045069E"/>
    <w:rsid w:val="00472167"/>
    <w:rsid w:val="00474EE4"/>
    <w:rsid w:val="004A5BA1"/>
    <w:rsid w:val="004D1090"/>
    <w:rsid w:val="004D59B6"/>
    <w:rsid w:val="004E77AA"/>
    <w:rsid w:val="00501941"/>
    <w:rsid w:val="00505165"/>
    <w:rsid w:val="00516661"/>
    <w:rsid w:val="0052125A"/>
    <w:rsid w:val="00531598"/>
    <w:rsid w:val="00531D82"/>
    <w:rsid w:val="00573C90"/>
    <w:rsid w:val="00584D73"/>
    <w:rsid w:val="0059673A"/>
    <w:rsid w:val="005B6893"/>
    <w:rsid w:val="005D1512"/>
    <w:rsid w:val="005D15E1"/>
    <w:rsid w:val="006049C7"/>
    <w:rsid w:val="00615FDB"/>
    <w:rsid w:val="00620A52"/>
    <w:rsid w:val="006316A0"/>
    <w:rsid w:val="0063643D"/>
    <w:rsid w:val="00661812"/>
    <w:rsid w:val="006807C2"/>
    <w:rsid w:val="006903BC"/>
    <w:rsid w:val="006A5212"/>
    <w:rsid w:val="006B2A69"/>
    <w:rsid w:val="0070083F"/>
    <w:rsid w:val="007064A9"/>
    <w:rsid w:val="007068CF"/>
    <w:rsid w:val="00716716"/>
    <w:rsid w:val="00750B2C"/>
    <w:rsid w:val="0076127C"/>
    <w:rsid w:val="007858FD"/>
    <w:rsid w:val="007A1595"/>
    <w:rsid w:val="007B4252"/>
    <w:rsid w:val="007E6885"/>
    <w:rsid w:val="007E7E71"/>
    <w:rsid w:val="0080402C"/>
    <w:rsid w:val="00806107"/>
    <w:rsid w:val="008117D3"/>
    <w:rsid w:val="00817E71"/>
    <w:rsid w:val="008300A3"/>
    <w:rsid w:val="00855228"/>
    <w:rsid w:val="00865BE0"/>
    <w:rsid w:val="008E3792"/>
    <w:rsid w:val="008F7563"/>
    <w:rsid w:val="00914210"/>
    <w:rsid w:val="0093604A"/>
    <w:rsid w:val="009410AD"/>
    <w:rsid w:val="00993434"/>
    <w:rsid w:val="009A5E3F"/>
    <w:rsid w:val="009B25B0"/>
    <w:rsid w:val="009C3995"/>
    <w:rsid w:val="009C60AC"/>
    <w:rsid w:val="009E05FD"/>
    <w:rsid w:val="00A02B8B"/>
    <w:rsid w:val="00A34BF2"/>
    <w:rsid w:val="00A439BB"/>
    <w:rsid w:val="00A54487"/>
    <w:rsid w:val="00A601DB"/>
    <w:rsid w:val="00A64936"/>
    <w:rsid w:val="00A72DC2"/>
    <w:rsid w:val="00A93DAC"/>
    <w:rsid w:val="00AC4ED8"/>
    <w:rsid w:val="00AD1304"/>
    <w:rsid w:val="00AE0A9B"/>
    <w:rsid w:val="00B2321B"/>
    <w:rsid w:val="00B259D4"/>
    <w:rsid w:val="00B25BB8"/>
    <w:rsid w:val="00B319A1"/>
    <w:rsid w:val="00B4315B"/>
    <w:rsid w:val="00B527C1"/>
    <w:rsid w:val="00B64518"/>
    <w:rsid w:val="00B80CEB"/>
    <w:rsid w:val="00B8607D"/>
    <w:rsid w:val="00BA0F85"/>
    <w:rsid w:val="00BC096D"/>
    <w:rsid w:val="00BC1B43"/>
    <w:rsid w:val="00BC5571"/>
    <w:rsid w:val="00BE6F79"/>
    <w:rsid w:val="00BF094B"/>
    <w:rsid w:val="00BF5440"/>
    <w:rsid w:val="00BF7DCD"/>
    <w:rsid w:val="00C0113F"/>
    <w:rsid w:val="00C439FF"/>
    <w:rsid w:val="00C50440"/>
    <w:rsid w:val="00C61972"/>
    <w:rsid w:val="00C71C2C"/>
    <w:rsid w:val="00CC28F1"/>
    <w:rsid w:val="00CD3920"/>
    <w:rsid w:val="00CE2B27"/>
    <w:rsid w:val="00CF7DE6"/>
    <w:rsid w:val="00D06CDE"/>
    <w:rsid w:val="00D1131F"/>
    <w:rsid w:val="00D249D5"/>
    <w:rsid w:val="00D262C0"/>
    <w:rsid w:val="00D27F2A"/>
    <w:rsid w:val="00D318DD"/>
    <w:rsid w:val="00D35FC5"/>
    <w:rsid w:val="00D847E3"/>
    <w:rsid w:val="00D94569"/>
    <w:rsid w:val="00DC13A2"/>
    <w:rsid w:val="00DD6893"/>
    <w:rsid w:val="00DF6A64"/>
    <w:rsid w:val="00E0030D"/>
    <w:rsid w:val="00E019C2"/>
    <w:rsid w:val="00E137BD"/>
    <w:rsid w:val="00E15548"/>
    <w:rsid w:val="00E259F3"/>
    <w:rsid w:val="00E41310"/>
    <w:rsid w:val="00E44F74"/>
    <w:rsid w:val="00E460C7"/>
    <w:rsid w:val="00E625B8"/>
    <w:rsid w:val="00E75323"/>
    <w:rsid w:val="00E7600A"/>
    <w:rsid w:val="00E90376"/>
    <w:rsid w:val="00EB29F8"/>
    <w:rsid w:val="00EB4B28"/>
    <w:rsid w:val="00EE6906"/>
    <w:rsid w:val="00EE7462"/>
    <w:rsid w:val="00EF1C4E"/>
    <w:rsid w:val="00EF32D3"/>
    <w:rsid w:val="00EF60B3"/>
    <w:rsid w:val="00F412A4"/>
    <w:rsid w:val="00F4352F"/>
    <w:rsid w:val="00F543B4"/>
    <w:rsid w:val="00F600EA"/>
    <w:rsid w:val="00F66EBB"/>
    <w:rsid w:val="00F74A73"/>
    <w:rsid w:val="00F83609"/>
    <w:rsid w:val="00F87713"/>
    <w:rsid w:val="00FD2418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DE3288-2E7F-4A47-8750-100AFDB0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38F"/>
  </w:style>
  <w:style w:type="paragraph" w:styleId="Footer">
    <w:name w:val="footer"/>
    <w:basedOn w:val="Normal"/>
    <w:link w:val="FooterChar"/>
    <w:uiPriority w:val="99"/>
    <w:unhideWhenUsed/>
    <w:rsid w:val="001F1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38F"/>
  </w:style>
  <w:style w:type="paragraph" w:styleId="BalloonText">
    <w:name w:val="Balloon Text"/>
    <w:basedOn w:val="Normal"/>
    <w:link w:val="BalloonTextChar"/>
    <w:uiPriority w:val="99"/>
    <w:semiHidden/>
    <w:unhideWhenUsed/>
    <w:rsid w:val="00EF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0B3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unhideWhenUsed/>
    <w:qFormat/>
    <w:rsid w:val="00EF60B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EF60B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,Footnotes refss"/>
    <w:unhideWhenUsed/>
    <w:rsid w:val="00EF60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6F79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74EE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6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906"/>
    <w:rPr>
      <w:b/>
      <w:bCs/>
      <w:sz w:val="20"/>
      <w:szCs w:val="20"/>
    </w:rPr>
  </w:style>
  <w:style w:type="paragraph" w:customStyle="1" w:styleId="Bodyall">
    <w:name w:val="Body all"/>
    <w:basedOn w:val="BodyText"/>
    <w:uiPriority w:val="99"/>
    <w:rsid w:val="00A34BF2"/>
    <w:pPr>
      <w:numPr>
        <w:numId w:val="15"/>
      </w:numPr>
      <w:tabs>
        <w:tab w:val="clear" w:pos="432"/>
      </w:tabs>
      <w:spacing w:before="60" w:after="60" w:line="320" w:lineRule="exact"/>
      <w:ind w:left="720" w:hanging="360"/>
      <w:jc w:val="both"/>
    </w:pPr>
    <w:rPr>
      <w:rFonts w:ascii="Calibri" w:eastAsia="Times New Roman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B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BF2"/>
  </w:style>
  <w:style w:type="paragraph" w:customStyle="1" w:styleId="doc-ti">
    <w:name w:val="doc-ti"/>
    <w:basedOn w:val="Normal"/>
    <w:rsid w:val="0014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rmal1">
    <w:name w:val="Normal1"/>
    <w:basedOn w:val="Normal"/>
    <w:rsid w:val="0014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AC4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3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9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Kalaydzhiyska-Ivanova</dc:creator>
  <cp:keywords/>
  <dc:description/>
  <cp:lastModifiedBy>Galina Vassileva</cp:lastModifiedBy>
  <cp:revision>19</cp:revision>
  <dcterms:created xsi:type="dcterms:W3CDTF">2021-01-15T08:48:00Z</dcterms:created>
  <dcterms:modified xsi:type="dcterms:W3CDTF">2021-01-18T15:45:00Z</dcterms:modified>
</cp:coreProperties>
</file>