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</w:t>
      </w:r>
      <w:r w:rsidR="001039BD">
        <w:rPr>
          <w:b/>
        </w:rPr>
        <w:t xml:space="preserve">21 </w:t>
      </w:r>
      <w:r w:rsidRPr="007F085C">
        <w:rPr>
          <w:b/>
        </w:rPr>
        <w:t>г.</w:t>
      </w:r>
    </w:p>
    <w:p w:rsidR="000D5C9A" w:rsidRPr="007F085C" w:rsidRDefault="003877B8" w:rsidP="007819B6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819B6">
      <w:pPr>
        <w:ind w:firstLine="851"/>
        <w:jc w:val="both"/>
        <w:rPr>
          <w:b/>
        </w:rPr>
      </w:pPr>
    </w:p>
    <w:p w:rsidR="00E43F27" w:rsidRDefault="00BD226A" w:rsidP="00124CC5">
      <w:pPr>
        <w:tabs>
          <w:tab w:val="left" w:pos="851"/>
        </w:tabs>
        <w:ind w:firstLine="567"/>
        <w:jc w:val="both"/>
      </w:pPr>
      <w:r w:rsidRPr="007F085C">
        <w:t>Съгласно утвърдения Годишен план за дейността на Инспектората в М</w:t>
      </w:r>
      <w:r w:rsidR="00B85FB2">
        <w:t xml:space="preserve">инистерството на транспорта и съобщенията </w:t>
      </w:r>
      <w:r w:rsidRPr="007F085C">
        <w:t>за периода 01 януари – 31 декември 20</w:t>
      </w:r>
      <w:r w:rsidR="001039BD">
        <w:t>21</w:t>
      </w:r>
      <w:r w:rsidRPr="007F085C">
        <w:t xml:space="preserve"> г. са поставени следните годишни цели:</w:t>
      </w:r>
      <w:r w:rsidR="00B85FB2">
        <w:t xml:space="preserve"> </w:t>
      </w:r>
    </w:p>
    <w:p w:rsidR="001039BD" w:rsidRPr="001039BD" w:rsidRDefault="001039BD" w:rsidP="007819B6">
      <w:pPr>
        <w:tabs>
          <w:tab w:val="left" w:pos="1134"/>
        </w:tabs>
        <w:ind w:firstLine="851"/>
        <w:jc w:val="both"/>
        <w:rPr>
          <w:color w:val="000000"/>
        </w:rPr>
      </w:pPr>
      <w:r w:rsidRPr="001039BD">
        <w:rPr>
          <w:color w:val="000000"/>
        </w:rPr>
        <w:t>1.</w:t>
      </w:r>
      <w:r w:rsidRPr="001039BD">
        <w:rPr>
          <w:color w:val="000000"/>
        </w:rPr>
        <w:tab/>
        <w:t>Извършване на  независима и обективна оценка на дейността на администрацията;</w:t>
      </w:r>
    </w:p>
    <w:p w:rsidR="001039BD" w:rsidRPr="001039BD" w:rsidRDefault="001039BD" w:rsidP="007819B6">
      <w:pPr>
        <w:tabs>
          <w:tab w:val="left" w:pos="1134"/>
        </w:tabs>
        <w:ind w:firstLine="851"/>
        <w:jc w:val="both"/>
        <w:rPr>
          <w:color w:val="000000"/>
        </w:rPr>
      </w:pPr>
      <w:r w:rsidRPr="001039BD">
        <w:rPr>
          <w:color w:val="000000"/>
        </w:rPr>
        <w:t>2.</w:t>
      </w:r>
      <w:r w:rsidRPr="001039BD">
        <w:rPr>
          <w:color w:val="000000"/>
        </w:rPr>
        <w:tab/>
        <w:t>Предотвратяване и отстраняване на нарушения от администрацията с цел постигане на законосъобразно и правилно функциониране на администрацията;</w:t>
      </w:r>
    </w:p>
    <w:p w:rsidR="001039BD" w:rsidRPr="001039BD" w:rsidRDefault="001039BD" w:rsidP="007819B6">
      <w:pPr>
        <w:tabs>
          <w:tab w:val="left" w:pos="1134"/>
        </w:tabs>
        <w:ind w:firstLine="851"/>
        <w:jc w:val="both"/>
        <w:rPr>
          <w:color w:val="000000"/>
        </w:rPr>
      </w:pPr>
      <w:r w:rsidRPr="001039BD">
        <w:rPr>
          <w:color w:val="000000"/>
        </w:rPr>
        <w:t>3.</w:t>
      </w:r>
      <w:r w:rsidRPr="001039BD">
        <w:rPr>
          <w:color w:val="000000"/>
        </w:rPr>
        <w:tab/>
        <w:t>Постигане на по-голяма ефективност в дейността на администрацията чрез формулирани от Инспектората конкретни препоръки/предложения за подобряването на работата и отстраняването на допуснатите пропуски и нарушения;</w:t>
      </w:r>
    </w:p>
    <w:p w:rsidR="001039BD" w:rsidRPr="001039BD" w:rsidRDefault="001039BD" w:rsidP="007819B6">
      <w:pPr>
        <w:tabs>
          <w:tab w:val="left" w:pos="1134"/>
        </w:tabs>
        <w:ind w:firstLine="851"/>
        <w:jc w:val="both"/>
        <w:rPr>
          <w:color w:val="000000"/>
        </w:rPr>
      </w:pPr>
      <w:r w:rsidRPr="001039BD">
        <w:rPr>
          <w:color w:val="000000"/>
        </w:rPr>
        <w:t>4.</w:t>
      </w:r>
      <w:r w:rsidRPr="001039BD">
        <w:rPr>
          <w:color w:val="000000"/>
        </w:rPr>
        <w:tab/>
        <w:t xml:space="preserve">Осъществяване на контрол и проверки по ЗПКОНПИ и Наредбата за организацията и реда за извършване на проверка на декларациите и за установяване конфликт на интереси; </w:t>
      </w:r>
    </w:p>
    <w:p w:rsidR="001039BD" w:rsidRPr="001039BD" w:rsidRDefault="001039BD" w:rsidP="007819B6">
      <w:pPr>
        <w:tabs>
          <w:tab w:val="left" w:pos="1134"/>
        </w:tabs>
        <w:ind w:firstLine="851"/>
        <w:jc w:val="both"/>
        <w:rPr>
          <w:color w:val="000000"/>
        </w:rPr>
      </w:pPr>
      <w:r w:rsidRPr="001039BD">
        <w:rPr>
          <w:color w:val="000000"/>
        </w:rPr>
        <w:t>5.</w:t>
      </w:r>
      <w:r w:rsidRPr="001039BD">
        <w:rPr>
          <w:color w:val="000000"/>
        </w:rPr>
        <w:tab/>
        <w:t>Повишаване ефективността на Инспектората чрез повишаване квалификацията на служителите чрез осигуряване на необходимите професионални знания и умения.</w:t>
      </w:r>
    </w:p>
    <w:p w:rsidR="001039BD" w:rsidRPr="001039BD" w:rsidRDefault="001039BD" w:rsidP="00124CC5">
      <w:pPr>
        <w:tabs>
          <w:tab w:val="left" w:pos="993"/>
        </w:tabs>
        <w:ind w:firstLine="567"/>
        <w:jc w:val="both"/>
        <w:rPr>
          <w:color w:val="000000"/>
          <w:lang w:val="en-US"/>
        </w:rPr>
      </w:pPr>
      <w:r w:rsidRPr="001039BD">
        <w:rPr>
          <w:color w:val="000000"/>
        </w:rPr>
        <w:t xml:space="preserve">За периода от 01.01.2021 г. до 31.12.2021 г. Инспекторатът в Министерството на транспорта и съобщенията е извършил общо - 38 бр. планови и извънпланови проверки, възложени със заповед на министъра на транспорта и съобщенията и са изпратени писма с препоръки за отстраняване на установените нарушения, нередности и пропуски до проверените структури. </w:t>
      </w:r>
    </w:p>
    <w:p w:rsidR="001039BD" w:rsidRPr="007F085C" w:rsidRDefault="001039BD" w:rsidP="00124CC5">
      <w:pPr>
        <w:tabs>
          <w:tab w:val="left" w:pos="851"/>
          <w:tab w:val="left" w:pos="1134"/>
        </w:tabs>
        <w:ind w:firstLine="567"/>
        <w:jc w:val="both"/>
      </w:pPr>
      <w:r>
        <w:t xml:space="preserve">Налице е пълно изпълнение </w:t>
      </w:r>
      <w:r w:rsidRPr="001039BD">
        <w:t xml:space="preserve">на планираните задачи и поставените цели на Инспектората през 2021 г. в Годишния план за дейността на Инспектората за 2021 година, утвърден от министъра на транспорта и съобщенията на 15.12.2020 г., изменен и допълнен на 14.06.2021 г. </w:t>
      </w:r>
    </w:p>
    <w:p w:rsidR="000D5C9A" w:rsidRDefault="00ED4C0F" w:rsidP="00124CC5">
      <w:pPr>
        <w:ind w:firstLine="567"/>
        <w:jc w:val="both"/>
      </w:pPr>
      <w:r>
        <w:t>З</w:t>
      </w:r>
      <w:r w:rsidRPr="00A1585D">
        <w:t xml:space="preserve">а отчетния период </w:t>
      </w:r>
      <w:r w:rsidR="00CB4214">
        <w:t xml:space="preserve">Инспекторатът е извършил </w:t>
      </w:r>
      <w:r w:rsidR="00196909">
        <w:t>четири</w:t>
      </w:r>
      <w:r w:rsidR="00CB4214">
        <w:t xml:space="preserve"> </w:t>
      </w:r>
      <w:r w:rsidR="00196909">
        <w:t>комплексни проверки</w:t>
      </w:r>
      <w:r w:rsidR="00196909" w:rsidRPr="00196909">
        <w:t xml:space="preserve"> </w:t>
      </w:r>
      <w:r w:rsidR="00196909" w:rsidRPr="00D23D49">
        <w:t xml:space="preserve">в </w:t>
      </w:r>
      <w:r w:rsidR="00196909" w:rsidRPr="004F0D67">
        <w:t>Министерство</w:t>
      </w:r>
      <w:r w:rsidR="00196909">
        <w:t>то</w:t>
      </w:r>
      <w:r w:rsidR="00196909" w:rsidRPr="004F0D67">
        <w:t xml:space="preserve"> на транспорта и съобщенията</w:t>
      </w:r>
      <w:r>
        <w:t xml:space="preserve"> </w:t>
      </w:r>
      <w:r w:rsidR="009A4C46">
        <w:t>в</w:t>
      </w:r>
      <w:r>
        <w:t xml:space="preserve"> дирекции:</w:t>
      </w:r>
      <w:r w:rsidR="00C010EF" w:rsidRPr="004065B2">
        <w:t xml:space="preserve"> </w:t>
      </w:r>
      <w:r w:rsidR="00196909" w:rsidRPr="00196909">
        <w:t>“Информационни технологии“</w:t>
      </w:r>
      <w:r w:rsidR="00196909">
        <w:t xml:space="preserve">, </w:t>
      </w:r>
      <w:r w:rsidR="001A7F38" w:rsidRPr="001A7F38">
        <w:t xml:space="preserve"> </w:t>
      </w:r>
      <w:r w:rsidRPr="00ED4C0F">
        <w:t>“Европейска координация и международно сътрудничество“</w:t>
      </w:r>
      <w:r>
        <w:t xml:space="preserve">, </w:t>
      </w:r>
      <w:r w:rsidRPr="00ED4C0F">
        <w:t>“Информационно обслужване“</w:t>
      </w:r>
      <w:r>
        <w:t xml:space="preserve"> и </w:t>
      </w:r>
      <w:r w:rsidRPr="00ED4C0F">
        <w:t>„Връзки с обществеността и протокол“</w:t>
      </w:r>
      <w:r>
        <w:t>.</w:t>
      </w:r>
    </w:p>
    <w:p w:rsidR="00060E8E" w:rsidRDefault="00993E25" w:rsidP="00124CC5">
      <w:pPr>
        <w:ind w:firstLine="567"/>
        <w:jc w:val="both"/>
      </w:pPr>
      <w:r w:rsidRPr="00D23D49">
        <w:t xml:space="preserve">През </w:t>
      </w:r>
      <w:r w:rsidR="00CB4214">
        <w:t>20</w:t>
      </w:r>
      <w:r w:rsidR="00ED4C0F">
        <w:t>21</w:t>
      </w:r>
      <w:r w:rsidR="00CB4214">
        <w:t xml:space="preserve"> г. </w:t>
      </w:r>
      <w:r w:rsidRPr="00D23D49">
        <w:t>са извършени</w:t>
      </w:r>
      <w:r w:rsidR="005442B0">
        <w:rPr>
          <w:lang w:val="en-US"/>
        </w:rPr>
        <w:t xml:space="preserve"> </w:t>
      </w:r>
      <w:r w:rsidR="005442B0">
        <w:t>общо</w:t>
      </w:r>
      <w:r w:rsidRPr="00D23D49">
        <w:t xml:space="preserve"> </w:t>
      </w:r>
      <w:r w:rsidR="007F085C" w:rsidRPr="00D23D49">
        <w:t xml:space="preserve"> </w:t>
      </w:r>
      <w:r w:rsidR="00ED4C0F">
        <w:rPr>
          <w:lang w:val="en-US"/>
        </w:rPr>
        <w:t>23</w:t>
      </w:r>
      <w:r w:rsidR="009A4C46">
        <w:rPr>
          <w:lang w:val="en-US"/>
        </w:rPr>
        <w:t xml:space="preserve"> </w:t>
      </w:r>
      <w:r w:rsidR="00055014" w:rsidRPr="00D23D49">
        <w:t xml:space="preserve">бр. </w:t>
      </w:r>
      <w:r w:rsidR="00C44361">
        <w:t>тематични проверки</w:t>
      </w:r>
      <w:r w:rsidR="005442B0">
        <w:t xml:space="preserve"> </w:t>
      </w:r>
      <w:r w:rsidRPr="00D23D49">
        <w:t>в</w:t>
      </w:r>
      <w:r w:rsidR="00060E8E">
        <w:t>:</w:t>
      </w:r>
      <w:r w:rsidRPr="00D23D49">
        <w:t xml:space="preserve"> </w:t>
      </w:r>
    </w:p>
    <w:p w:rsidR="00060E8E" w:rsidRDefault="004F0D67" w:rsidP="007819B6">
      <w:pPr>
        <w:pStyle w:val="ListParagraph"/>
        <w:numPr>
          <w:ilvl w:val="0"/>
          <w:numId w:val="14"/>
        </w:numPr>
        <w:jc w:val="both"/>
      </w:pPr>
      <w:r w:rsidRPr="004F0D67">
        <w:t>Министерство на транспорта</w:t>
      </w:r>
      <w:r w:rsidR="00060E8E">
        <w:t xml:space="preserve"> и съобщенията;</w:t>
      </w:r>
    </w:p>
    <w:p w:rsidR="00060E8E" w:rsidRDefault="00993E25" w:rsidP="007819B6">
      <w:pPr>
        <w:pStyle w:val="ListParagraph"/>
        <w:numPr>
          <w:ilvl w:val="0"/>
          <w:numId w:val="14"/>
        </w:numPr>
        <w:jc w:val="both"/>
      </w:pPr>
      <w:r w:rsidRPr="00D23D49">
        <w:t>Изпълнителна агенц</w:t>
      </w:r>
      <w:r w:rsidR="00060E8E">
        <w:t>ия „Автомобилна администрация“;</w:t>
      </w:r>
    </w:p>
    <w:p w:rsidR="00060E8E" w:rsidRDefault="0025422A" w:rsidP="007819B6">
      <w:pPr>
        <w:pStyle w:val="ListParagraph"/>
        <w:numPr>
          <w:ilvl w:val="0"/>
          <w:numId w:val="14"/>
        </w:numPr>
        <w:jc w:val="both"/>
      </w:pPr>
      <w:r w:rsidRPr="00D23D49">
        <w:t xml:space="preserve">Главна дирекция „Гражданска въздухоплавателна администрация“, </w:t>
      </w:r>
    </w:p>
    <w:p w:rsidR="00060E8E" w:rsidRDefault="00CE632E" w:rsidP="007819B6">
      <w:pPr>
        <w:pStyle w:val="ListParagraph"/>
        <w:numPr>
          <w:ilvl w:val="0"/>
          <w:numId w:val="14"/>
        </w:numPr>
        <w:jc w:val="both"/>
      </w:pPr>
      <w:r w:rsidRPr="00CE632E">
        <w:t>Изпълнителна агенция „Морска администрация“</w:t>
      </w:r>
      <w:r w:rsidR="0025422A" w:rsidRPr="00D23D49">
        <w:t>,</w:t>
      </w:r>
    </w:p>
    <w:p w:rsidR="000D5C9A" w:rsidRDefault="00C55E07" w:rsidP="007819B6">
      <w:pPr>
        <w:pStyle w:val="ListParagraph"/>
        <w:numPr>
          <w:ilvl w:val="0"/>
          <w:numId w:val="14"/>
        </w:numPr>
        <w:jc w:val="both"/>
      </w:pPr>
      <w:r>
        <w:t>в</w:t>
      </w:r>
      <w:r w:rsidR="008F3813" w:rsidRPr="008F3813">
        <w:t xml:space="preserve">торостепенните разпоредители с бюджет към министъра на транспорта </w:t>
      </w:r>
      <w:bookmarkStart w:id="0" w:name="_GoBack"/>
      <w:bookmarkEnd w:id="0"/>
      <w:r w:rsidR="008F3813" w:rsidRPr="008F3813">
        <w:t>и съобщенията</w:t>
      </w:r>
      <w:r w:rsidR="007C3DA3">
        <w:t xml:space="preserve"> – по</w:t>
      </w:r>
      <w:r w:rsidR="007C3DA3" w:rsidRPr="007C3DA3">
        <w:t xml:space="preserve"> </w:t>
      </w:r>
      <w:r w:rsidR="007C3DA3">
        <w:t xml:space="preserve">ЗПКОНПИ и  </w:t>
      </w:r>
      <w:r w:rsidR="007C3DA3" w:rsidRPr="000E291A">
        <w:t>Н</w:t>
      </w:r>
      <w:r w:rsidR="007C3DA3">
        <w:t>ОРИПДУКИ</w:t>
      </w:r>
      <w:r w:rsidR="00C010EF">
        <w:t>.</w:t>
      </w:r>
    </w:p>
    <w:p w:rsidR="008F3813" w:rsidRPr="00124CC5" w:rsidRDefault="008F3813" w:rsidP="00124CC5">
      <w:pPr>
        <w:tabs>
          <w:tab w:val="left" w:pos="851"/>
          <w:tab w:val="left" w:pos="1134"/>
        </w:tabs>
        <w:ind w:firstLine="567"/>
        <w:jc w:val="both"/>
      </w:pPr>
      <w:r w:rsidRPr="008F3813">
        <w:t>За отчетния период Инспекторатът е извършил 11 бр. извънпланови проверки, възложени със заповед на министъра на транспорта и съобщенията, като 6 бр. от извънплановите проверки са извършени по постъпили сигнали в МТС, 3 бр. проверки извършени по разпореждане на Прокуратурата, 1бр. проверка по искане на Главен инспекторат към Министерски съвет и 1 бр. проверка, извършена по препратен сигнал от КПКОНПИ и медийна публикация.</w:t>
      </w:r>
    </w:p>
    <w:p w:rsidR="008F3813" w:rsidRPr="008F3813" w:rsidRDefault="008F3813" w:rsidP="00124CC5">
      <w:pPr>
        <w:tabs>
          <w:tab w:val="left" w:pos="1134"/>
        </w:tabs>
        <w:ind w:firstLine="567"/>
        <w:jc w:val="both"/>
        <w:rPr>
          <w:color w:val="000000"/>
        </w:rPr>
      </w:pPr>
      <w:r w:rsidRPr="008F3813">
        <w:t xml:space="preserve">През 2021г. </w:t>
      </w:r>
      <w:r w:rsidRPr="008F3813">
        <w:rPr>
          <w:color w:val="000000"/>
        </w:rPr>
        <w:t>в Инспектората са постъпили/насочени общо 49 броя сигнали на граждани и организации срещу неправилни/незаконосъобразни действия/бездействия на служителите от администрациите, като от тях 44 бро</w:t>
      </w:r>
      <w:r w:rsidR="007C3DA3">
        <w:rPr>
          <w:color w:val="000000"/>
        </w:rPr>
        <w:t xml:space="preserve">я са процедирани по АПК съответно: </w:t>
      </w:r>
      <w:r w:rsidRPr="008F3813">
        <w:rPr>
          <w:color w:val="000000"/>
          <w:lang w:val="en-US"/>
        </w:rPr>
        <w:t xml:space="preserve">14 </w:t>
      </w:r>
      <w:r w:rsidRPr="008F3813">
        <w:rPr>
          <w:color w:val="000000"/>
        </w:rPr>
        <w:t>броя сигнали са препратени по компетентност на основание  чл. 112 от АПК, 1 бро</w:t>
      </w:r>
      <w:r w:rsidR="007C3DA3">
        <w:rPr>
          <w:color w:val="000000"/>
        </w:rPr>
        <w:t>й сигнал</w:t>
      </w:r>
      <w:r w:rsidRPr="008F3813">
        <w:rPr>
          <w:color w:val="000000"/>
        </w:rPr>
        <w:t xml:space="preserve"> </w:t>
      </w:r>
      <w:r w:rsidR="007C3DA3">
        <w:rPr>
          <w:color w:val="000000"/>
        </w:rPr>
        <w:t>е приключен</w:t>
      </w:r>
      <w:r w:rsidRPr="008F3813">
        <w:rPr>
          <w:color w:val="000000"/>
        </w:rPr>
        <w:t xml:space="preserve"> на основание чл. 124, ал. 1 от АПК, 4 броя анонимни сигнали са приключени на основание чл. 111, ал. 4 от АПК,  по 16 броя сигнали са разпоредени 10 броя извънпланови проверки със заповед на министъра на транспорта и съобщенията, 5 бр. при проведеното предварително проучване от инспектората е установено, че сигналите не подлежат на проверка и не са извършени проверки въз основа на одобрени от министъра на транспорта и съобщенията докладни записки на основание чл. 32, ал. 5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 и 5 бр. сигнали са в процес на предварително проучване</w:t>
      </w:r>
      <w:r w:rsidR="007C3DA3">
        <w:rPr>
          <w:color w:val="000000"/>
        </w:rPr>
        <w:t xml:space="preserve"> към края на 2021 г</w:t>
      </w:r>
      <w:r w:rsidRPr="008F3813">
        <w:rPr>
          <w:color w:val="000000"/>
        </w:rPr>
        <w:t xml:space="preserve">. </w:t>
      </w:r>
    </w:p>
    <w:p w:rsidR="008F3813" w:rsidRPr="008F3813" w:rsidRDefault="008F3813" w:rsidP="00124CC5">
      <w:pPr>
        <w:tabs>
          <w:tab w:val="left" w:pos="1134"/>
        </w:tabs>
        <w:ind w:firstLine="567"/>
        <w:jc w:val="both"/>
        <w:rPr>
          <w:color w:val="000000"/>
          <w:lang w:val="en-US"/>
        </w:rPr>
      </w:pPr>
      <w:r w:rsidRPr="008F3813">
        <w:rPr>
          <w:color w:val="000000"/>
        </w:rPr>
        <w:lastRenderedPageBreak/>
        <w:t>Сигналите подадени по реда на ЗПКОНПИ са 5 бр.</w:t>
      </w:r>
      <w:r w:rsidRPr="008F3813">
        <w:rPr>
          <w:color w:val="000000"/>
          <w:lang w:val="en-US"/>
        </w:rPr>
        <w:t>,</w:t>
      </w:r>
      <w:r w:rsidRPr="008F3813">
        <w:rPr>
          <w:color w:val="000000"/>
        </w:rPr>
        <w:t xml:space="preserve"> от които – по 1 бр. сигнал е разпоредена извънпланов</w:t>
      </w:r>
      <w:r w:rsidR="001F70A8">
        <w:rPr>
          <w:color w:val="000000"/>
        </w:rPr>
        <w:t>а проверка</w:t>
      </w:r>
      <w:r w:rsidRPr="008F3813">
        <w:rPr>
          <w:color w:val="000000"/>
        </w:rPr>
        <w:t xml:space="preserve"> със заповед на министъра на транспорта и съобщенията по повод препратен сигнал от КПКОНПИ</w:t>
      </w:r>
      <w:r w:rsidRPr="008F3813">
        <w:rPr>
          <w:color w:val="000000"/>
          <w:lang w:val="en-US"/>
        </w:rPr>
        <w:t xml:space="preserve"> и </w:t>
      </w:r>
      <w:proofErr w:type="spellStart"/>
      <w:r w:rsidRPr="008F3813">
        <w:rPr>
          <w:color w:val="000000"/>
          <w:lang w:val="en-US"/>
        </w:rPr>
        <w:t>медийна</w:t>
      </w:r>
      <w:proofErr w:type="spellEnd"/>
      <w:r w:rsidRPr="008F3813">
        <w:rPr>
          <w:color w:val="000000"/>
          <w:lang w:val="en-US"/>
        </w:rPr>
        <w:t xml:space="preserve"> </w:t>
      </w:r>
      <w:proofErr w:type="spellStart"/>
      <w:r w:rsidRPr="008F3813">
        <w:rPr>
          <w:color w:val="000000"/>
          <w:lang w:val="en-US"/>
        </w:rPr>
        <w:t>публикация</w:t>
      </w:r>
      <w:proofErr w:type="spellEnd"/>
      <w:r w:rsidRPr="008F3813">
        <w:rPr>
          <w:color w:val="000000"/>
        </w:rPr>
        <w:t>, по 1 бр. сигнал е процедирано без разглеждане и към архив на основание чл. 6, ал. 6 от Наредбата за организацията и реда за извършване на проверки на декларациите и установяване на конфликт на интереси, поради липса на част от реквизити</w:t>
      </w:r>
      <w:r w:rsidR="001F70A8">
        <w:rPr>
          <w:color w:val="000000"/>
        </w:rPr>
        <w:t xml:space="preserve">те, </w:t>
      </w:r>
      <w:r w:rsidRPr="008F3813">
        <w:rPr>
          <w:color w:val="000000"/>
        </w:rPr>
        <w:t>3бр. сигнали на основание чл. 8, от Наредбата за организацията и реда за извършване на проверки на декларациите и установяване на конфликт на интереси са препратени по компетентност към ИААА .</w:t>
      </w:r>
    </w:p>
    <w:p w:rsidR="007819B6" w:rsidRPr="007819B6" w:rsidRDefault="007819B6" w:rsidP="00124CC5">
      <w:pPr>
        <w:tabs>
          <w:tab w:val="left" w:pos="1134"/>
        </w:tabs>
        <w:ind w:firstLine="567"/>
        <w:jc w:val="both"/>
        <w:rPr>
          <w:color w:val="000000"/>
        </w:rPr>
      </w:pPr>
      <w:r w:rsidRPr="007819B6">
        <w:rPr>
          <w:color w:val="000000"/>
        </w:rPr>
        <w:t>Най–често срещаните нарушения и пропуски, установени от Инспектората в хода на извършените планови и извънпланови проверки, включително по постъпили сигнали по АПК са следните:</w:t>
      </w:r>
    </w:p>
    <w:p w:rsidR="007819B6" w:rsidRPr="007819B6" w:rsidRDefault="007819B6" w:rsidP="008007BA">
      <w:pPr>
        <w:numPr>
          <w:ilvl w:val="0"/>
          <w:numId w:val="24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</w:rPr>
      </w:pPr>
      <w:r w:rsidRPr="007819B6">
        <w:rPr>
          <w:color w:val="000000"/>
        </w:rPr>
        <w:t xml:space="preserve">Неактуални, непълни или липса на вътрешноведомствени правила и процедури, както и заповеди на </w:t>
      </w:r>
      <w:proofErr w:type="spellStart"/>
      <w:r w:rsidRPr="007819B6">
        <w:rPr>
          <w:color w:val="000000"/>
          <w:lang w:val="en-US"/>
        </w:rPr>
        <w:t>административния</w:t>
      </w:r>
      <w:proofErr w:type="spellEnd"/>
      <w:r w:rsidRPr="007819B6">
        <w:rPr>
          <w:color w:val="000000"/>
          <w:lang w:val="en-US"/>
        </w:rPr>
        <w:t xml:space="preserve"> </w:t>
      </w:r>
      <w:r w:rsidRPr="007819B6">
        <w:rPr>
          <w:color w:val="000000"/>
        </w:rPr>
        <w:t>орган/ органа по назначаване;</w:t>
      </w:r>
    </w:p>
    <w:p w:rsidR="007819B6" w:rsidRPr="007819B6" w:rsidRDefault="007819B6" w:rsidP="008007BA">
      <w:pPr>
        <w:numPr>
          <w:ilvl w:val="0"/>
          <w:numId w:val="24"/>
        </w:numPr>
        <w:ind w:left="993" w:hanging="284"/>
        <w:jc w:val="both"/>
        <w:rPr>
          <w:color w:val="000000"/>
        </w:rPr>
      </w:pPr>
      <w:r w:rsidRPr="007819B6">
        <w:rPr>
          <w:color w:val="000000"/>
        </w:rPr>
        <w:t>Празноти/неактуални подзаконови нормативни актове;</w:t>
      </w:r>
    </w:p>
    <w:p w:rsidR="007819B6" w:rsidRPr="007819B6" w:rsidRDefault="007819B6" w:rsidP="008007BA">
      <w:pPr>
        <w:numPr>
          <w:ilvl w:val="0"/>
          <w:numId w:val="24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</w:rPr>
      </w:pPr>
      <w:r w:rsidRPr="007819B6">
        <w:rPr>
          <w:color w:val="000000"/>
        </w:rPr>
        <w:t>Несъответствия в реда и организацията и изпълнението на дейностите, съобразно измененията в регламентиращата ги нормативна уредба, в т. ч. и при предоставяне на административни услуги и режими;</w:t>
      </w:r>
    </w:p>
    <w:p w:rsidR="007819B6" w:rsidRPr="007819B6" w:rsidRDefault="007819B6" w:rsidP="008007BA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819B6">
        <w:rPr>
          <w:color w:val="000000"/>
        </w:rPr>
        <w:t>Неактуализирани и наличие на непълноти в съдържанието на длъжностните характеристики на служители в администрацията;</w:t>
      </w:r>
    </w:p>
    <w:p w:rsidR="007819B6" w:rsidRPr="007819B6" w:rsidRDefault="007819B6" w:rsidP="008007BA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819B6">
        <w:rPr>
          <w:color w:val="000000"/>
        </w:rPr>
        <w:t>Незаконосъобразни и неправилни действия/бездействия на служители от администрацията;</w:t>
      </w:r>
    </w:p>
    <w:p w:rsidR="007819B6" w:rsidRPr="007819B6" w:rsidRDefault="007819B6" w:rsidP="008007BA">
      <w:pPr>
        <w:numPr>
          <w:ilvl w:val="0"/>
          <w:numId w:val="24"/>
        </w:numPr>
        <w:tabs>
          <w:tab w:val="left" w:pos="567"/>
        </w:tabs>
        <w:ind w:left="993" w:hanging="284"/>
        <w:jc w:val="both"/>
        <w:rPr>
          <w:color w:val="000000"/>
        </w:rPr>
      </w:pPr>
      <w:r w:rsidRPr="007819B6">
        <w:rPr>
          <w:color w:val="000000"/>
        </w:rPr>
        <w:t>Несъответствия при прилагането на нормативната уредба, относно:</w:t>
      </w:r>
    </w:p>
    <w:p w:rsidR="007819B6" w:rsidRPr="007819B6" w:rsidRDefault="007819B6" w:rsidP="007819B6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r w:rsidRPr="007819B6">
        <w:rPr>
          <w:color w:val="000000"/>
        </w:rPr>
        <w:t>воденето на регистрите на подадените декларации от задължените лица по ЗПКОНПИ;</w:t>
      </w:r>
    </w:p>
    <w:p w:rsidR="007819B6" w:rsidRPr="007819B6" w:rsidRDefault="007819B6" w:rsidP="007819B6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r w:rsidRPr="007819B6">
        <w:rPr>
          <w:color w:val="000000"/>
        </w:rPr>
        <w:t>публикуване в интернет страницата на подадените декларации от задължените лица по ЗПКОНПИ;</w:t>
      </w:r>
    </w:p>
    <w:p w:rsidR="007819B6" w:rsidRPr="007819B6" w:rsidRDefault="007819B6" w:rsidP="007819B6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r w:rsidRPr="007819B6">
        <w:rPr>
          <w:color w:val="000000"/>
        </w:rPr>
        <w:t>извършване от назначените комисии на проверки на подадените декларации по ЗПКОНПИ от задължените лица и изготвяне на доклади за извършената дейност на комисиите;</w:t>
      </w:r>
    </w:p>
    <w:p w:rsidR="007819B6" w:rsidRPr="007819B6" w:rsidRDefault="007819B6" w:rsidP="007819B6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r w:rsidRPr="007819B6">
        <w:rPr>
          <w:color w:val="000000"/>
        </w:rPr>
        <w:t>публикуване на актуални образци на заявления за предоставяне на административни услуги;</w:t>
      </w:r>
    </w:p>
    <w:p w:rsidR="007819B6" w:rsidRPr="007819B6" w:rsidRDefault="007819B6" w:rsidP="007819B6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proofErr w:type="spellStart"/>
      <w:r w:rsidRPr="007819B6">
        <w:rPr>
          <w:color w:val="000000"/>
        </w:rPr>
        <w:t>неактуализирани</w:t>
      </w:r>
      <w:proofErr w:type="spellEnd"/>
      <w:r w:rsidRPr="007819B6">
        <w:rPr>
          <w:color w:val="000000"/>
        </w:rPr>
        <w:t xml:space="preserve"> актове за държавна собственост на предоставените за управление недвижими имоти;</w:t>
      </w:r>
    </w:p>
    <w:p w:rsidR="007819B6" w:rsidRPr="007819B6" w:rsidRDefault="007819B6" w:rsidP="008007BA">
      <w:pPr>
        <w:numPr>
          <w:ilvl w:val="0"/>
          <w:numId w:val="25"/>
        </w:numPr>
        <w:tabs>
          <w:tab w:val="left" w:pos="993"/>
        </w:tabs>
        <w:ind w:left="0" w:firstLine="644"/>
        <w:jc w:val="both"/>
        <w:rPr>
          <w:color w:val="000000"/>
        </w:rPr>
      </w:pPr>
      <w:r w:rsidRPr="007819B6">
        <w:rPr>
          <w:color w:val="000000"/>
        </w:rPr>
        <w:t xml:space="preserve">Неосигурен достъп до средата за </w:t>
      </w:r>
      <w:proofErr w:type="spellStart"/>
      <w:r w:rsidRPr="007819B6">
        <w:rPr>
          <w:color w:val="000000"/>
        </w:rPr>
        <w:t>междурегистров</w:t>
      </w:r>
      <w:proofErr w:type="spellEnd"/>
      <w:r w:rsidRPr="007819B6">
        <w:rPr>
          <w:color w:val="000000"/>
        </w:rPr>
        <w:t xml:space="preserve"> обмен (</w:t>
      </w:r>
      <w:proofErr w:type="spellStart"/>
      <w:r w:rsidRPr="007819B6">
        <w:rPr>
          <w:color w:val="000000"/>
        </w:rPr>
        <w:t>RegiX</w:t>
      </w:r>
      <w:proofErr w:type="spellEnd"/>
      <w:r w:rsidRPr="007819B6">
        <w:rPr>
          <w:color w:val="000000"/>
        </w:rPr>
        <w:t>) за членовете на част от комисиите по ЗПКОНПИ;</w:t>
      </w:r>
    </w:p>
    <w:p w:rsidR="007819B6" w:rsidRPr="007819B6" w:rsidRDefault="007819B6" w:rsidP="008007BA">
      <w:pPr>
        <w:numPr>
          <w:ilvl w:val="1"/>
          <w:numId w:val="25"/>
        </w:numPr>
        <w:tabs>
          <w:tab w:val="left" w:pos="993"/>
        </w:tabs>
        <w:ind w:left="0" w:firstLine="633"/>
        <w:jc w:val="both"/>
        <w:rPr>
          <w:color w:val="000000"/>
        </w:rPr>
      </w:pPr>
      <w:r w:rsidRPr="007819B6">
        <w:rPr>
          <w:color w:val="000000"/>
        </w:rPr>
        <w:t>Неспазване на определените с вътрешноведомствени документи ред и организация на работа, както и контрол;</w:t>
      </w:r>
    </w:p>
    <w:p w:rsidR="007819B6" w:rsidRPr="007819B6" w:rsidRDefault="007819B6" w:rsidP="008007BA">
      <w:pPr>
        <w:numPr>
          <w:ilvl w:val="1"/>
          <w:numId w:val="25"/>
        </w:numPr>
        <w:tabs>
          <w:tab w:val="left" w:pos="993"/>
        </w:tabs>
        <w:ind w:left="0" w:firstLine="633"/>
        <w:jc w:val="both"/>
        <w:rPr>
          <w:color w:val="000000"/>
        </w:rPr>
      </w:pPr>
      <w:r w:rsidRPr="007819B6">
        <w:rPr>
          <w:color w:val="000000"/>
        </w:rPr>
        <w:t>Неспазване на установения ред и организация за извършване на оборота на електронни документи и документи на хартиен носител - поставяне на деловоден номер, спазване на установените срокове, възлагане по утвърдения ред и др.</w:t>
      </w:r>
    </w:p>
    <w:p w:rsidR="007819B6" w:rsidRPr="007819B6" w:rsidRDefault="007819B6" w:rsidP="003C35FA">
      <w:pPr>
        <w:tabs>
          <w:tab w:val="left" w:pos="1134"/>
        </w:tabs>
        <w:ind w:firstLine="426"/>
        <w:jc w:val="both"/>
        <w:rPr>
          <w:color w:val="000000"/>
        </w:rPr>
      </w:pPr>
      <w:r w:rsidRPr="007819B6">
        <w:rPr>
          <w:color w:val="000000"/>
        </w:rPr>
        <w:t>Причините за констатираните нарушения са следните:</w:t>
      </w:r>
    </w:p>
    <w:p w:rsidR="007819B6" w:rsidRPr="007819B6" w:rsidRDefault="007819B6" w:rsidP="008007BA">
      <w:pPr>
        <w:numPr>
          <w:ilvl w:val="0"/>
          <w:numId w:val="26"/>
        </w:numPr>
        <w:jc w:val="both"/>
        <w:rPr>
          <w:color w:val="000000"/>
        </w:rPr>
      </w:pPr>
      <w:r w:rsidRPr="007819B6">
        <w:rPr>
          <w:color w:val="000000"/>
        </w:rPr>
        <w:t>непознаване на нормативната уредба, незаинтересованост;</w:t>
      </w:r>
    </w:p>
    <w:p w:rsidR="007819B6" w:rsidRPr="007819B6" w:rsidRDefault="007819B6" w:rsidP="008007BA">
      <w:pPr>
        <w:numPr>
          <w:ilvl w:val="0"/>
          <w:numId w:val="26"/>
        </w:numPr>
        <w:tabs>
          <w:tab w:val="left" w:pos="709"/>
          <w:tab w:val="left" w:pos="1134"/>
        </w:tabs>
        <w:jc w:val="both"/>
        <w:rPr>
          <w:color w:val="000000"/>
        </w:rPr>
      </w:pPr>
      <w:r w:rsidRPr="007819B6">
        <w:rPr>
          <w:color w:val="000000"/>
        </w:rPr>
        <w:t>неизпълнение и/или забава при изпълнението на служебните задължения;</w:t>
      </w:r>
    </w:p>
    <w:p w:rsidR="007819B6" w:rsidRPr="007819B6" w:rsidRDefault="007819B6" w:rsidP="008007BA">
      <w:pPr>
        <w:numPr>
          <w:ilvl w:val="0"/>
          <w:numId w:val="26"/>
        </w:numPr>
        <w:tabs>
          <w:tab w:val="left" w:pos="709"/>
        </w:tabs>
        <w:jc w:val="both"/>
        <w:rPr>
          <w:color w:val="000000"/>
        </w:rPr>
      </w:pPr>
      <w:r w:rsidRPr="007819B6">
        <w:rPr>
          <w:color w:val="000000"/>
        </w:rPr>
        <w:t xml:space="preserve">липса на вътрешни актове, както и </w:t>
      </w:r>
      <w:proofErr w:type="spellStart"/>
      <w:r w:rsidRPr="007819B6">
        <w:rPr>
          <w:color w:val="000000"/>
        </w:rPr>
        <w:t>неактуализирането</w:t>
      </w:r>
      <w:proofErr w:type="spellEnd"/>
      <w:r w:rsidRPr="007819B6">
        <w:rPr>
          <w:color w:val="000000"/>
        </w:rPr>
        <w:t xml:space="preserve"> им;</w:t>
      </w:r>
    </w:p>
    <w:p w:rsidR="007819B6" w:rsidRPr="007819B6" w:rsidRDefault="007819B6" w:rsidP="008007BA">
      <w:pPr>
        <w:numPr>
          <w:ilvl w:val="0"/>
          <w:numId w:val="26"/>
        </w:numPr>
        <w:jc w:val="both"/>
        <w:rPr>
          <w:color w:val="000000"/>
        </w:rPr>
      </w:pPr>
      <w:r w:rsidRPr="007819B6">
        <w:rPr>
          <w:color w:val="000000"/>
        </w:rPr>
        <w:t>липса, занижен или недостатъчно ефективен вътрешен контрол;</w:t>
      </w:r>
    </w:p>
    <w:p w:rsidR="007819B6" w:rsidRPr="007819B6" w:rsidRDefault="007819B6" w:rsidP="008007BA">
      <w:pPr>
        <w:numPr>
          <w:ilvl w:val="0"/>
          <w:numId w:val="26"/>
        </w:numPr>
        <w:jc w:val="both"/>
        <w:rPr>
          <w:color w:val="000000"/>
        </w:rPr>
      </w:pPr>
      <w:r w:rsidRPr="007819B6">
        <w:rPr>
          <w:color w:val="000000"/>
        </w:rPr>
        <w:t>недостатъчна професионална квалификация и текучество;</w:t>
      </w:r>
    </w:p>
    <w:p w:rsidR="007819B6" w:rsidRPr="007819B6" w:rsidRDefault="007819B6" w:rsidP="008007BA">
      <w:pPr>
        <w:numPr>
          <w:ilvl w:val="0"/>
          <w:numId w:val="26"/>
        </w:numPr>
        <w:tabs>
          <w:tab w:val="left" w:pos="993"/>
        </w:tabs>
        <w:ind w:left="0" w:firstLine="568"/>
        <w:jc w:val="both"/>
        <w:rPr>
          <w:color w:val="000000"/>
        </w:rPr>
      </w:pPr>
      <w:r w:rsidRPr="007819B6">
        <w:rPr>
          <w:color w:val="000000"/>
        </w:rPr>
        <w:t>липса на съгласуваност, навременна комуникация и координация между отговорни дирекции и  служители по конкретен случай;</w:t>
      </w:r>
    </w:p>
    <w:p w:rsidR="007819B6" w:rsidRPr="007819B6" w:rsidRDefault="007819B6" w:rsidP="008007BA">
      <w:pPr>
        <w:numPr>
          <w:ilvl w:val="0"/>
          <w:numId w:val="26"/>
        </w:numPr>
        <w:tabs>
          <w:tab w:val="left" w:pos="993"/>
        </w:tabs>
        <w:ind w:left="0" w:firstLine="568"/>
        <w:jc w:val="both"/>
        <w:rPr>
          <w:color w:val="000000"/>
        </w:rPr>
      </w:pPr>
      <w:r w:rsidRPr="007819B6">
        <w:rPr>
          <w:color w:val="000000"/>
        </w:rPr>
        <w:t>непълноти, противоречиви норми в нормативната уредба и вътрешните актове и др., необходимост от актуализация.</w:t>
      </w:r>
    </w:p>
    <w:p w:rsidR="007819B6" w:rsidRPr="007819B6" w:rsidRDefault="007819B6" w:rsidP="007819B6">
      <w:pPr>
        <w:tabs>
          <w:tab w:val="left" w:pos="1134"/>
        </w:tabs>
        <w:ind w:firstLine="567"/>
        <w:jc w:val="both"/>
        <w:outlineLvl w:val="0"/>
      </w:pPr>
      <w:r w:rsidRPr="007819B6">
        <w:t>В резултат на извършените проверки от Инспектората са дадени препоръки с конкретни срокове за отстраняване на констатираните пропуски и нарушения.</w:t>
      </w:r>
    </w:p>
    <w:p w:rsidR="007819B6" w:rsidRPr="007819B6" w:rsidRDefault="007819B6" w:rsidP="007819B6">
      <w:pPr>
        <w:tabs>
          <w:tab w:val="left" w:pos="0"/>
          <w:tab w:val="left" w:pos="1134"/>
        </w:tabs>
        <w:ind w:firstLine="540"/>
        <w:jc w:val="both"/>
        <w:outlineLvl w:val="0"/>
      </w:pPr>
      <w:r w:rsidRPr="007819B6">
        <w:t>Общият брой на дадените препоръки въз основа на извършените планови и извънпланови проверки от Инспектората през  2021 г. е 91 броя.</w:t>
      </w:r>
      <w:r w:rsidRPr="007819B6">
        <w:rPr>
          <w:color w:val="FF0000"/>
        </w:rPr>
        <w:t xml:space="preserve"> </w:t>
      </w:r>
    </w:p>
    <w:p w:rsidR="007819B6" w:rsidRPr="007819B6" w:rsidRDefault="007819B6" w:rsidP="007819B6">
      <w:pPr>
        <w:tabs>
          <w:tab w:val="left" w:pos="851"/>
        </w:tabs>
        <w:ind w:firstLine="709"/>
        <w:jc w:val="both"/>
      </w:pPr>
      <w:r w:rsidRPr="007819B6">
        <w:rPr>
          <w:b/>
          <w:i/>
        </w:rPr>
        <w:lastRenderedPageBreak/>
        <w:t>●</w:t>
      </w:r>
      <w:r w:rsidRPr="007819B6">
        <w:rPr>
          <w:i/>
        </w:rPr>
        <w:t xml:space="preserve"> </w:t>
      </w:r>
      <w:r w:rsidRPr="007819B6">
        <w:t>45 бр.</w:t>
      </w:r>
      <w:r w:rsidRPr="007819B6">
        <w:rPr>
          <w:rFonts w:eastAsia="Calibri"/>
          <w:bCs/>
          <w:lang w:eastAsia="en-US"/>
        </w:rPr>
        <w:t xml:space="preserve"> с</w:t>
      </w:r>
      <w:r w:rsidRPr="007819B6">
        <w:t>а изпълнени с оглед предприемане на коригиращи действия за отстраняване на констатираните пропуски и несъответствия или са предприети организационни мерки за тяхното изпълнение/прилагане, 5 броя препоръки са в процес на изпълнение към края на 2021 г.</w:t>
      </w:r>
    </w:p>
    <w:p w:rsidR="007819B6" w:rsidRDefault="007819B6" w:rsidP="007819B6">
      <w:pPr>
        <w:ind w:firstLine="708"/>
        <w:jc w:val="both"/>
        <w:rPr>
          <w:color w:val="000000"/>
        </w:rPr>
      </w:pPr>
      <w:r w:rsidRPr="007819B6">
        <w:t xml:space="preserve">● 41 бр. препоръки </w:t>
      </w:r>
      <w:r w:rsidRPr="007819B6">
        <w:rPr>
          <w:rFonts w:eastAsia="Calibri"/>
          <w:bCs/>
          <w:lang w:eastAsia="en-US"/>
        </w:rPr>
        <w:t>са в</w:t>
      </w:r>
      <w:r w:rsidRPr="007819B6">
        <w:t xml:space="preserve"> процес на изпълнение, като определеният срок е през 2022 г. </w:t>
      </w:r>
      <w:r w:rsidRPr="007819B6">
        <w:rPr>
          <w:rFonts w:eastAsia="Calibri"/>
          <w:bCs/>
          <w:lang w:eastAsia="en-US"/>
        </w:rPr>
        <w:t xml:space="preserve"> </w:t>
      </w:r>
    </w:p>
    <w:p w:rsidR="000D5C9A" w:rsidRPr="00D23D49" w:rsidRDefault="000D5C9A" w:rsidP="007819B6">
      <w:pPr>
        <w:tabs>
          <w:tab w:val="left" w:pos="851"/>
        </w:tabs>
        <w:ind w:firstLine="567"/>
        <w:jc w:val="both"/>
      </w:pPr>
      <w:r w:rsidRPr="00D23D49">
        <w:t xml:space="preserve">През отчетния период Инспекторатът в </w:t>
      </w:r>
      <w:r w:rsidR="004F0D67" w:rsidRPr="004F0D67">
        <w:t>Министерство на транспорта и съобщенията</w:t>
      </w:r>
      <w:r w:rsidRPr="00D23D49">
        <w:t xml:space="preserve"> е инициирал </w:t>
      </w:r>
      <w:r w:rsidR="00352EA1">
        <w:rPr>
          <w:lang w:val="en-US"/>
        </w:rPr>
        <w:t>33</w:t>
      </w:r>
      <w:r w:rsidR="00655BE9" w:rsidRPr="00D23D49">
        <w:t xml:space="preserve"> бр. </w:t>
      </w:r>
      <w:r w:rsidRPr="00D23D49">
        <w:t>промени във вътрешн</w:t>
      </w:r>
      <w:r w:rsidR="00053B4D" w:rsidRPr="00D23D49">
        <w:t>оведомствени</w:t>
      </w:r>
      <w:r w:rsidR="0013317A" w:rsidRPr="00D23D49">
        <w:t>те</w:t>
      </w:r>
      <w:r w:rsidR="00053B4D" w:rsidRPr="00D23D49">
        <w:t xml:space="preserve"> </w:t>
      </w:r>
      <w:r w:rsidRPr="00D23D49">
        <w:t xml:space="preserve">актове на проверяваните </w:t>
      </w:r>
      <w:r w:rsidR="00053B4D" w:rsidRPr="00D23D49">
        <w:t xml:space="preserve">административни </w:t>
      </w:r>
      <w:r w:rsidRPr="00D23D49">
        <w:t>структури и промени в нормативни актове</w:t>
      </w:r>
      <w:r w:rsidR="00655BE9" w:rsidRPr="00D23D49">
        <w:t>.</w:t>
      </w:r>
      <w:r w:rsidRPr="00D23D49">
        <w:t xml:space="preserve"> </w:t>
      </w:r>
    </w:p>
    <w:p w:rsidR="00E5551E" w:rsidRPr="00E5551E" w:rsidRDefault="00E5551E" w:rsidP="00E5551E">
      <w:pPr>
        <w:tabs>
          <w:tab w:val="left" w:pos="0"/>
          <w:tab w:val="left" w:pos="567"/>
        </w:tabs>
        <w:jc w:val="both"/>
        <w:outlineLvl w:val="0"/>
        <w:rPr>
          <w:b/>
        </w:rPr>
      </w:pPr>
      <w:r>
        <w:tab/>
        <w:t>В началото на 2</w:t>
      </w:r>
      <w:r w:rsidRPr="00E92CD5">
        <w:t>02</w:t>
      </w:r>
      <w:r>
        <w:t>1</w:t>
      </w:r>
      <w:r w:rsidRPr="00E92CD5">
        <w:t xml:space="preserve"> г. бе утвърден от министъра на транспорта и съобщенията Антикорупционен план 202</w:t>
      </w:r>
      <w:r>
        <w:t>1</w:t>
      </w:r>
      <w:r w:rsidRPr="00E92CD5">
        <w:t xml:space="preserve"> г. за изпълнение на Националната стратегия за превенция и противодействие на корупцията в Република България 2015 г. – 2020 г. от Министерството на транспорта и съобщенията и второстепенните разпоредители с бюджет към министъра на транспорта и съобщенията, във връзка с изпълнение на мярка 5.8. от Плана за изпълнение на мерките по Националната стратегия за превенция и противодействие на корупцията в Република България 2015 – 2020г. </w:t>
      </w:r>
    </w:p>
    <w:p w:rsidR="00E5551E" w:rsidRPr="007F085C" w:rsidRDefault="00E5551E" w:rsidP="007819B6">
      <w:pPr>
        <w:tabs>
          <w:tab w:val="left" w:pos="142"/>
        </w:tabs>
        <w:ind w:firstLine="709"/>
        <w:jc w:val="both"/>
      </w:pPr>
    </w:p>
    <w:sectPr w:rsidR="00E5551E" w:rsidRPr="007F085C" w:rsidSect="0026475D">
      <w:pgSz w:w="11906" w:h="16838"/>
      <w:pgMar w:top="851" w:right="849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1CAC"/>
    <w:multiLevelType w:val="hybridMultilevel"/>
    <w:tmpl w:val="C5223C8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B402C0"/>
    <w:multiLevelType w:val="hybridMultilevel"/>
    <w:tmpl w:val="5776A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26F"/>
    <w:multiLevelType w:val="hybridMultilevel"/>
    <w:tmpl w:val="3558E502"/>
    <w:lvl w:ilvl="0" w:tplc="FCACE1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5F1"/>
    <w:multiLevelType w:val="hybridMultilevel"/>
    <w:tmpl w:val="2DDCD3BC"/>
    <w:lvl w:ilvl="0" w:tplc="7844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AE6BFE"/>
    <w:multiLevelType w:val="hybridMultilevel"/>
    <w:tmpl w:val="7DA818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4E36A0"/>
    <w:multiLevelType w:val="hybridMultilevel"/>
    <w:tmpl w:val="BB9CE8F4"/>
    <w:lvl w:ilvl="0" w:tplc="0402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 w15:restartNumberingAfterBreak="0">
    <w:nsid w:val="3B7817B4"/>
    <w:multiLevelType w:val="hybridMultilevel"/>
    <w:tmpl w:val="162C0326"/>
    <w:lvl w:ilvl="0" w:tplc="B2945E3E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DB7B84"/>
    <w:multiLevelType w:val="hybridMultilevel"/>
    <w:tmpl w:val="6B8E9040"/>
    <w:lvl w:ilvl="0" w:tplc="E92839F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941"/>
    <w:multiLevelType w:val="hybridMultilevel"/>
    <w:tmpl w:val="4C3AA54C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4877EFC"/>
    <w:multiLevelType w:val="hybridMultilevel"/>
    <w:tmpl w:val="C748A95C"/>
    <w:lvl w:ilvl="0" w:tplc="2B8C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352AB"/>
    <w:multiLevelType w:val="hybridMultilevel"/>
    <w:tmpl w:val="0F08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C103F"/>
    <w:multiLevelType w:val="hybridMultilevel"/>
    <w:tmpl w:val="08B439D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9A4AE4"/>
    <w:multiLevelType w:val="hybridMultilevel"/>
    <w:tmpl w:val="9AAC2A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042253"/>
    <w:multiLevelType w:val="hybridMultilevel"/>
    <w:tmpl w:val="2B5840E2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FE71E0"/>
    <w:multiLevelType w:val="hybridMultilevel"/>
    <w:tmpl w:val="5E5694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19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8"/>
  </w:num>
  <w:num w:numId="13">
    <w:abstractNumId w:val="9"/>
  </w:num>
  <w:num w:numId="14">
    <w:abstractNumId w:val="22"/>
  </w:num>
  <w:num w:numId="15">
    <w:abstractNumId w:val="7"/>
  </w:num>
  <w:num w:numId="16">
    <w:abstractNumId w:val="20"/>
  </w:num>
  <w:num w:numId="17">
    <w:abstractNumId w:val="12"/>
  </w:num>
  <w:num w:numId="18">
    <w:abstractNumId w:val="3"/>
  </w:num>
  <w:num w:numId="19">
    <w:abstractNumId w:val="1"/>
  </w:num>
  <w:num w:numId="20">
    <w:abstractNumId w:val="15"/>
  </w:num>
  <w:num w:numId="21">
    <w:abstractNumId w:val="5"/>
  </w:num>
  <w:num w:numId="22">
    <w:abstractNumId w:val="24"/>
  </w:num>
  <w:num w:numId="23">
    <w:abstractNumId w:val="11"/>
  </w:num>
  <w:num w:numId="24">
    <w:abstractNumId w:val="21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60E8E"/>
    <w:rsid w:val="000D5C9A"/>
    <w:rsid w:val="001039BD"/>
    <w:rsid w:val="00124CC5"/>
    <w:rsid w:val="0013317A"/>
    <w:rsid w:val="00140BED"/>
    <w:rsid w:val="00196909"/>
    <w:rsid w:val="001A7F38"/>
    <w:rsid w:val="001E3619"/>
    <w:rsid w:val="001E746A"/>
    <w:rsid w:val="001F70A8"/>
    <w:rsid w:val="00223864"/>
    <w:rsid w:val="00253FBE"/>
    <w:rsid w:val="0025422A"/>
    <w:rsid w:val="0026475D"/>
    <w:rsid w:val="002E3585"/>
    <w:rsid w:val="002F3C77"/>
    <w:rsid w:val="003364C1"/>
    <w:rsid w:val="00352EA1"/>
    <w:rsid w:val="003877B8"/>
    <w:rsid w:val="003B058F"/>
    <w:rsid w:val="003C35FA"/>
    <w:rsid w:val="00441BD4"/>
    <w:rsid w:val="0045165A"/>
    <w:rsid w:val="004544F9"/>
    <w:rsid w:val="004A68A8"/>
    <w:rsid w:val="004E6CA7"/>
    <w:rsid w:val="004F0D67"/>
    <w:rsid w:val="00535CBE"/>
    <w:rsid w:val="005442B0"/>
    <w:rsid w:val="0055400B"/>
    <w:rsid w:val="005A4B78"/>
    <w:rsid w:val="005B2EF3"/>
    <w:rsid w:val="005B5E31"/>
    <w:rsid w:val="005C4F7A"/>
    <w:rsid w:val="005E1021"/>
    <w:rsid w:val="005E4740"/>
    <w:rsid w:val="005F1D29"/>
    <w:rsid w:val="006121AE"/>
    <w:rsid w:val="00653FB4"/>
    <w:rsid w:val="00655BE9"/>
    <w:rsid w:val="00682EFB"/>
    <w:rsid w:val="00693693"/>
    <w:rsid w:val="00696995"/>
    <w:rsid w:val="006C6829"/>
    <w:rsid w:val="00746DE9"/>
    <w:rsid w:val="007819B6"/>
    <w:rsid w:val="007957E0"/>
    <w:rsid w:val="007B5C83"/>
    <w:rsid w:val="007C3DA3"/>
    <w:rsid w:val="007C45D7"/>
    <w:rsid w:val="007D1656"/>
    <w:rsid w:val="007F085C"/>
    <w:rsid w:val="008007BA"/>
    <w:rsid w:val="0088516C"/>
    <w:rsid w:val="008C5C41"/>
    <w:rsid w:val="008E291B"/>
    <w:rsid w:val="008F3813"/>
    <w:rsid w:val="008F7BBA"/>
    <w:rsid w:val="0091292E"/>
    <w:rsid w:val="00956A02"/>
    <w:rsid w:val="009743CB"/>
    <w:rsid w:val="00993E25"/>
    <w:rsid w:val="009A4C46"/>
    <w:rsid w:val="009C5858"/>
    <w:rsid w:val="00A25145"/>
    <w:rsid w:val="00A6079D"/>
    <w:rsid w:val="00B75449"/>
    <w:rsid w:val="00B85FB2"/>
    <w:rsid w:val="00BA6D81"/>
    <w:rsid w:val="00BD226A"/>
    <w:rsid w:val="00C010EF"/>
    <w:rsid w:val="00C422F1"/>
    <w:rsid w:val="00C44361"/>
    <w:rsid w:val="00C559E6"/>
    <w:rsid w:val="00C55E07"/>
    <w:rsid w:val="00CA6EB3"/>
    <w:rsid w:val="00CB4214"/>
    <w:rsid w:val="00CD046D"/>
    <w:rsid w:val="00CE632E"/>
    <w:rsid w:val="00D23D49"/>
    <w:rsid w:val="00D63DEE"/>
    <w:rsid w:val="00D76494"/>
    <w:rsid w:val="00D84909"/>
    <w:rsid w:val="00DB1B7E"/>
    <w:rsid w:val="00E365A0"/>
    <w:rsid w:val="00E43F27"/>
    <w:rsid w:val="00E5551E"/>
    <w:rsid w:val="00EC3E40"/>
    <w:rsid w:val="00ED4C0F"/>
    <w:rsid w:val="00F1518A"/>
    <w:rsid w:val="00F45564"/>
    <w:rsid w:val="00FA509D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8CB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uiPriority w:val="1"/>
    <w:qFormat/>
    <w:rsid w:val="00C010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Maya Nikolova</cp:lastModifiedBy>
  <cp:revision>33</cp:revision>
  <cp:lastPrinted>2019-02-28T07:19:00Z</cp:lastPrinted>
  <dcterms:created xsi:type="dcterms:W3CDTF">2020-03-02T09:13:00Z</dcterms:created>
  <dcterms:modified xsi:type="dcterms:W3CDTF">2022-03-11T08:13:00Z</dcterms:modified>
</cp:coreProperties>
</file>