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84" w:rsidRDefault="00DA48FD">
      <w:pPr>
        <w:pStyle w:val="80"/>
        <w:keepNext/>
        <w:keepLines/>
        <w:shd w:val="clear" w:color="auto" w:fill="auto"/>
        <w:spacing w:after="40" w:line="240" w:lineRule="auto"/>
        <w:jc w:val="center"/>
      </w:pPr>
      <w:bookmarkStart w:id="0" w:name="bookmark56"/>
      <w:bookmarkStart w:id="1" w:name="bookmark57"/>
      <w:r>
        <w:t>СПРАВКА</w:t>
      </w:r>
      <w:bookmarkEnd w:id="0"/>
      <w:bookmarkEnd w:id="1"/>
    </w:p>
    <w:p w:rsidR="00C83184" w:rsidRDefault="00DA48FD">
      <w:pPr>
        <w:pStyle w:val="a0"/>
        <w:shd w:val="clear" w:color="auto" w:fill="auto"/>
        <w:spacing w:after="40" w:line="240" w:lineRule="auto"/>
        <w:ind w:firstLine="0"/>
        <w:jc w:val="center"/>
      </w:pPr>
      <w:r>
        <w:t>за постъпилите предложенията при общественото обсъждане</w:t>
      </w:r>
    </w:p>
    <w:p w:rsidR="00C83184" w:rsidRDefault="00DA48FD">
      <w:pPr>
        <w:pStyle w:val="a0"/>
        <w:shd w:val="clear" w:color="auto" w:fill="auto"/>
        <w:spacing w:after="260" w:line="240" w:lineRule="auto"/>
        <w:ind w:firstLine="0"/>
        <w:jc w:val="center"/>
      </w:pPr>
      <w:r>
        <w:t>на Закона за изменение и допълнение на Закона за железопътния транспорт в периода 27.09.2017 г. - 16.10.2017 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8"/>
        <w:gridCol w:w="7214"/>
        <w:gridCol w:w="1845"/>
        <w:gridCol w:w="4105"/>
      </w:tblGrid>
      <w:tr w:rsidR="00C83184">
        <w:trPr>
          <w:trHeight w:hRule="exact" w:val="1039"/>
          <w:jc w:val="center"/>
        </w:trPr>
        <w:tc>
          <w:tcPr>
            <w:tcW w:w="1988" w:type="dxa"/>
            <w:tcBorders>
              <w:top w:val="single" w:sz="4" w:space="0" w:color="auto"/>
              <w:left w:val="single" w:sz="4" w:space="0" w:color="auto"/>
            </w:tcBorders>
            <w:shd w:val="clear" w:color="auto" w:fill="FFFFFF"/>
          </w:tcPr>
          <w:p w:rsidR="00C83184" w:rsidRDefault="00DA48FD">
            <w:pPr>
              <w:pStyle w:val="a2"/>
              <w:shd w:val="clear" w:color="auto" w:fill="auto"/>
              <w:spacing w:line="276" w:lineRule="auto"/>
              <w:ind w:firstLine="0"/>
              <w:jc w:val="center"/>
              <w:rPr>
                <w:sz w:val="19"/>
                <w:szCs w:val="19"/>
              </w:rPr>
            </w:pPr>
            <w:r>
              <w:rPr>
                <w:rFonts w:ascii="Arial" w:eastAsia="Arial" w:hAnsi="Arial" w:cs="Arial"/>
                <w:b/>
                <w:bCs/>
                <w:sz w:val="19"/>
                <w:szCs w:val="19"/>
              </w:rPr>
              <w:t>Изготвил предложението</w:t>
            </w:r>
          </w:p>
        </w:tc>
        <w:tc>
          <w:tcPr>
            <w:tcW w:w="7214" w:type="dxa"/>
            <w:tcBorders>
              <w:top w:val="single" w:sz="4" w:space="0" w:color="auto"/>
              <w:left w:val="single" w:sz="4" w:space="0" w:color="auto"/>
            </w:tcBorders>
            <w:shd w:val="clear" w:color="auto" w:fill="FFFFFF"/>
          </w:tcPr>
          <w:p w:rsidR="00C83184" w:rsidRDefault="00DA48FD">
            <w:pPr>
              <w:pStyle w:val="a2"/>
              <w:shd w:val="clear" w:color="auto" w:fill="auto"/>
              <w:spacing w:line="240" w:lineRule="auto"/>
              <w:ind w:firstLine="0"/>
              <w:jc w:val="center"/>
              <w:rPr>
                <w:sz w:val="19"/>
                <w:szCs w:val="19"/>
              </w:rPr>
            </w:pPr>
            <w:r>
              <w:rPr>
                <w:rFonts w:ascii="Arial" w:eastAsia="Arial" w:hAnsi="Arial" w:cs="Arial"/>
                <w:b/>
                <w:bCs/>
                <w:sz w:val="19"/>
                <w:szCs w:val="19"/>
              </w:rPr>
              <w:t>Предложение</w:t>
            </w:r>
          </w:p>
        </w:tc>
        <w:tc>
          <w:tcPr>
            <w:tcW w:w="1845" w:type="dxa"/>
            <w:tcBorders>
              <w:top w:val="single" w:sz="4" w:space="0" w:color="auto"/>
              <w:left w:val="single" w:sz="4" w:space="0" w:color="auto"/>
            </w:tcBorders>
            <w:shd w:val="clear" w:color="auto" w:fill="FFFFFF"/>
          </w:tcPr>
          <w:p w:rsidR="00C83184" w:rsidRDefault="00DA48FD">
            <w:pPr>
              <w:pStyle w:val="a2"/>
              <w:shd w:val="clear" w:color="auto" w:fill="auto"/>
              <w:spacing w:line="276" w:lineRule="auto"/>
              <w:ind w:firstLine="0"/>
              <w:jc w:val="center"/>
              <w:rPr>
                <w:sz w:val="19"/>
                <w:szCs w:val="19"/>
              </w:rPr>
            </w:pPr>
            <w:r>
              <w:rPr>
                <w:rFonts w:ascii="Arial" w:eastAsia="Arial" w:hAnsi="Arial" w:cs="Arial"/>
                <w:b/>
                <w:bCs/>
                <w:sz w:val="19"/>
                <w:szCs w:val="19"/>
              </w:rPr>
              <w:t>Приема/ не приема предложението</w:t>
            </w:r>
          </w:p>
        </w:tc>
        <w:tc>
          <w:tcPr>
            <w:tcW w:w="4105" w:type="dxa"/>
            <w:tcBorders>
              <w:top w:val="single" w:sz="4" w:space="0" w:color="auto"/>
              <w:left w:val="single" w:sz="4" w:space="0" w:color="auto"/>
              <w:right w:val="single" w:sz="4" w:space="0" w:color="auto"/>
            </w:tcBorders>
            <w:shd w:val="clear" w:color="auto" w:fill="FFFFFF"/>
          </w:tcPr>
          <w:p w:rsidR="00C83184" w:rsidRDefault="00DA48FD">
            <w:pPr>
              <w:pStyle w:val="a2"/>
              <w:shd w:val="clear" w:color="auto" w:fill="auto"/>
              <w:spacing w:line="276" w:lineRule="auto"/>
              <w:ind w:firstLine="0"/>
              <w:jc w:val="center"/>
              <w:rPr>
                <w:sz w:val="19"/>
                <w:szCs w:val="19"/>
              </w:rPr>
            </w:pPr>
            <w:r>
              <w:rPr>
                <w:rFonts w:ascii="Arial" w:eastAsia="Arial" w:hAnsi="Arial" w:cs="Arial"/>
                <w:b/>
                <w:bCs/>
                <w:sz w:val="19"/>
                <w:szCs w:val="19"/>
              </w:rPr>
              <w:t>Мотиви за неприемане на предложението</w:t>
            </w:r>
          </w:p>
        </w:tc>
      </w:tr>
      <w:tr w:rsidR="00C83184">
        <w:trPr>
          <w:trHeight w:hRule="exact" w:val="8640"/>
          <w:jc w:val="center"/>
        </w:trPr>
        <w:tc>
          <w:tcPr>
            <w:tcW w:w="1988" w:type="dxa"/>
            <w:tcBorders>
              <w:top w:val="single" w:sz="4" w:space="0" w:color="auto"/>
              <w:left w:val="single" w:sz="4" w:space="0" w:color="auto"/>
              <w:bottom w:val="single" w:sz="4" w:space="0" w:color="auto"/>
            </w:tcBorders>
            <w:shd w:val="clear" w:color="auto" w:fill="FFFFFF"/>
          </w:tcPr>
          <w:p w:rsidR="00C83184" w:rsidRDefault="00DA48FD">
            <w:pPr>
              <w:pStyle w:val="a2"/>
              <w:shd w:val="clear" w:color="auto" w:fill="auto"/>
              <w:tabs>
                <w:tab w:val="left" w:pos="1626"/>
              </w:tabs>
              <w:spacing w:line="293" w:lineRule="auto"/>
              <w:ind w:firstLine="0"/>
            </w:pPr>
            <w:r>
              <w:t>Гражданска инициатива за обществен</w:t>
            </w:r>
            <w:r>
              <w:tab/>
              <w:t>и</w:t>
            </w:r>
          </w:p>
          <w:p w:rsidR="00C83184" w:rsidRDefault="00DA48FD">
            <w:pPr>
              <w:pStyle w:val="a2"/>
              <w:shd w:val="clear" w:color="auto" w:fill="auto"/>
              <w:spacing w:line="293" w:lineRule="auto"/>
              <w:ind w:firstLine="0"/>
            </w:pPr>
            <w:r>
              <w:t>релсов транспорт</w:t>
            </w:r>
          </w:p>
        </w:tc>
        <w:tc>
          <w:tcPr>
            <w:tcW w:w="7214" w:type="dxa"/>
            <w:tcBorders>
              <w:top w:val="single" w:sz="4" w:space="0" w:color="auto"/>
              <w:left w:val="single" w:sz="4" w:space="0" w:color="auto"/>
              <w:bottom w:val="single" w:sz="4" w:space="0" w:color="auto"/>
            </w:tcBorders>
            <w:shd w:val="clear" w:color="auto" w:fill="FFFFFF"/>
            <w:vAlign w:val="bottom"/>
          </w:tcPr>
          <w:p w:rsidR="00C83184" w:rsidRDefault="00DA48FD">
            <w:pPr>
              <w:pStyle w:val="a2"/>
              <w:shd w:val="clear" w:color="auto" w:fill="auto"/>
              <w:spacing w:line="290" w:lineRule="auto"/>
              <w:ind w:firstLine="0"/>
              <w:jc w:val="both"/>
            </w:pPr>
            <w:r>
              <w:t xml:space="preserve">От Гражданска инициатива за обществен и релсов транспорт, изразява несъгласие </w:t>
            </w:r>
            <w:r>
              <w:rPr>
                <w:i/>
                <w:iCs/>
              </w:rPr>
              <w:t>е § 1. В чл. 9, ал. 4 се създава изречение второ: „Имуществото - публична и частна държавна собственост, се предоставя от държавата за изпълнението на предмета и на дейност с решение на Министерския съвет. “ Тези</w:t>
            </w:r>
            <w:r>
              <w:t xml:space="preserve"> промени са в противоречие със Закона за държавната собственост (ЗДС). Мотивите за тази промяна не могат да бъдат открити в чл. 106 от Конституцията на Република България, тъй като там само общо е посочено следното: </w:t>
            </w:r>
            <w:r>
              <w:rPr>
                <w:i/>
                <w:iCs/>
              </w:rPr>
              <w:t xml:space="preserve">„Министерският съвет ръководи изпълнението на държавния бюджет; организира стопанисването на държавното имущество; сключва, утвърждава и денонсира международни договори в случаите, предвидени в закона.". </w:t>
            </w:r>
            <w:r>
              <w:t xml:space="preserve">Конкретните действия по придобиването, управлението и разпореждането с имоти и недвижими вещи - държавна собственост, както и актуването на имоти - държавна собственост, се уреждат е цитирания Закон за държавната собственост. Странно е как в мотивите на готвените промени само на едно единствено място е цитиран този закон, но не и частта от него, която е пряко относима към готвените промени. Явно лицата, изготвили настоящия проект за конкретната промяна са наясно, че с нейното приемане Законът за железопътния транспорт ще влезе в противоречие със Закона за държавната собственост. Абсолютно необосновано е твърдението в мотивите към готвените промени, че </w:t>
            </w:r>
            <w:r>
              <w:rPr>
                <w:i/>
                <w:iCs/>
              </w:rPr>
              <w:t>„Предлаганата уредба ще допринесе за по-добрата координация и съгласуваност между ведомствата при предоставянето на държавни имоти на публичните търговци",</w:t>
            </w:r>
            <w:r>
              <w:t xml:space="preserve"> тъй като според Закона за държавната собственост публичната държавна собственост автоматично ще стане частна държавна собственост по смисъла на чл.2, ал.4 от ЗДС. Освен това, в ЗДС е предвидена възможност за учредяване на ограничени вещни права върху публична държавна собственост, когато това е необходимо за изграждане на линейни обекти на</w:t>
            </w:r>
          </w:p>
        </w:tc>
        <w:tc>
          <w:tcPr>
            <w:tcW w:w="1845" w:type="dxa"/>
            <w:tcBorders>
              <w:top w:val="single" w:sz="4" w:space="0" w:color="auto"/>
              <w:left w:val="single" w:sz="4" w:space="0" w:color="auto"/>
              <w:bottom w:val="single" w:sz="4" w:space="0" w:color="auto"/>
            </w:tcBorders>
            <w:shd w:val="clear" w:color="auto" w:fill="FFFFFF"/>
          </w:tcPr>
          <w:p w:rsidR="00C83184" w:rsidRDefault="00DA48FD">
            <w:pPr>
              <w:pStyle w:val="a2"/>
              <w:shd w:val="clear" w:color="auto" w:fill="auto"/>
              <w:spacing w:line="240" w:lineRule="auto"/>
              <w:ind w:firstLine="0"/>
            </w:pPr>
            <w:r>
              <w:t>Не се приема.</w:t>
            </w:r>
          </w:p>
        </w:tc>
        <w:tc>
          <w:tcPr>
            <w:tcW w:w="4105" w:type="dxa"/>
            <w:tcBorders>
              <w:top w:val="single" w:sz="4" w:space="0" w:color="auto"/>
              <w:left w:val="single" w:sz="4" w:space="0" w:color="auto"/>
              <w:bottom w:val="single" w:sz="4" w:space="0" w:color="auto"/>
              <w:right w:val="single" w:sz="4" w:space="0" w:color="auto"/>
            </w:tcBorders>
            <w:shd w:val="clear" w:color="auto" w:fill="FFFFFF"/>
            <w:vAlign w:val="bottom"/>
          </w:tcPr>
          <w:p w:rsidR="00C83184" w:rsidRDefault="00DA48FD">
            <w:pPr>
              <w:pStyle w:val="a2"/>
              <w:shd w:val="clear" w:color="auto" w:fill="auto"/>
              <w:tabs>
                <w:tab w:val="left" w:pos="715"/>
                <w:tab w:val="left" w:pos="2274"/>
                <w:tab w:val="left" w:pos="3638"/>
              </w:tabs>
              <w:spacing w:line="290" w:lineRule="auto"/>
              <w:ind w:firstLine="0"/>
              <w:jc w:val="both"/>
            </w:pPr>
            <w:r>
              <w:t>С § 1 се предлага в чл. 9, ал. 4 от Закона за железопътния транспорт да се създаде изречение второ, с което да се</w:t>
            </w:r>
            <w:r>
              <w:tab/>
              <w:t>прецизира</w:t>
            </w:r>
            <w:r>
              <w:tab/>
              <w:t>начинът</w:t>
            </w:r>
            <w:r>
              <w:tab/>
              <w:t>на</w:t>
            </w:r>
          </w:p>
          <w:p w:rsidR="00C83184" w:rsidRDefault="00DA48FD">
            <w:pPr>
              <w:pStyle w:val="a2"/>
              <w:shd w:val="clear" w:color="auto" w:fill="auto"/>
              <w:tabs>
                <w:tab w:val="left" w:pos="935"/>
                <w:tab w:val="left" w:pos="2880"/>
              </w:tabs>
              <w:spacing w:line="290" w:lineRule="auto"/>
              <w:ind w:firstLine="0"/>
              <w:jc w:val="both"/>
            </w:pPr>
            <w:r>
              <w:t>предоставяне на имущество - държавна собственост, за управление на</w:t>
            </w:r>
            <w:r>
              <w:tab/>
              <w:t>Национална</w:t>
            </w:r>
            <w:r>
              <w:tab/>
              <w:t>компания</w:t>
            </w:r>
          </w:p>
          <w:p w:rsidR="00C83184" w:rsidRDefault="00DA48FD">
            <w:pPr>
              <w:pStyle w:val="a2"/>
              <w:shd w:val="clear" w:color="auto" w:fill="auto"/>
              <w:tabs>
                <w:tab w:val="right" w:pos="3857"/>
              </w:tabs>
              <w:spacing w:line="290" w:lineRule="auto"/>
              <w:ind w:firstLine="0"/>
              <w:jc w:val="both"/>
            </w:pPr>
            <w:r>
              <w:t>„Железопътна</w:t>
            </w:r>
            <w:r>
              <w:tab/>
              <w:t>инфраструктура“.</w:t>
            </w:r>
          </w:p>
          <w:p w:rsidR="00C83184" w:rsidRDefault="00DA48FD">
            <w:pPr>
              <w:pStyle w:val="a2"/>
              <w:shd w:val="clear" w:color="auto" w:fill="auto"/>
              <w:tabs>
                <w:tab w:val="right" w:pos="3872"/>
              </w:tabs>
              <w:spacing w:line="290" w:lineRule="auto"/>
              <w:ind w:firstLine="0"/>
              <w:jc w:val="both"/>
            </w:pPr>
            <w:r>
              <w:t>Подобна правна практика - държавно имущество да се предоставя на публичен търговец - държавно предприятие от Министерският съвет не е нова и съществува и в други законодателни актове. В случая с Национална компания „Железопътна инфраструктура“,</w:t>
            </w:r>
            <w:r>
              <w:tab/>
              <w:t>най-често</w:t>
            </w:r>
          </w:p>
          <w:p w:rsidR="00C83184" w:rsidRDefault="00DA48FD">
            <w:pPr>
              <w:pStyle w:val="a2"/>
              <w:shd w:val="clear" w:color="auto" w:fill="auto"/>
              <w:tabs>
                <w:tab w:val="left" w:pos="2360"/>
                <w:tab w:val="right" w:pos="3862"/>
              </w:tabs>
              <w:spacing w:line="290" w:lineRule="auto"/>
              <w:ind w:firstLine="0"/>
              <w:jc w:val="both"/>
            </w:pPr>
            <w:r>
              <w:t>предоставяното имущество са имоти, необходими за изграждането на железопътна инфраструктура - публична държавна собственост, за осъществяването</w:t>
            </w:r>
            <w:r>
              <w:tab/>
              <w:t>на</w:t>
            </w:r>
            <w:r>
              <w:tab/>
              <w:t>важни</w:t>
            </w:r>
          </w:p>
          <w:p w:rsidR="00C83184" w:rsidRDefault="00DA48FD">
            <w:pPr>
              <w:pStyle w:val="a2"/>
              <w:shd w:val="clear" w:color="auto" w:fill="auto"/>
              <w:tabs>
                <w:tab w:val="right" w:pos="3857"/>
              </w:tabs>
              <w:spacing w:line="290" w:lineRule="auto"/>
              <w:ind w:firstLine="0"/>
              <w:jc w:val="both"/>
            </w:pPr>
            <w:r>
              <w:t>инфраструктурни</w:t>
            </w:r>
            <w:r>
              <w:tab/>
              <w:t>проекти,</w:t>
            </w:r>
          </w:p>
          <w:p w:rsidR="00C83184" w:rsidRDefault="00DA48FD">
            <w:pPr>
              <w:pStyle w:val="a2"/>
              <w:shd w:val="clear" w:color="auto" w:fill="auto"/>
              <w:spacing w:line="290" w:lineRule="auto"/>
              <w:ind w:firstLine="0"/>
              <w:jc w:val="both"/>
            </w:pPr>
            <w:r>
              <w:t>включително финансирани със средства от Европейския съюз. Предоставянето на публични активи на предприятието от Министерския съвет е в съответствие е правомощието на Министерския съвет да преценява дали един имот има характера на имот - публична държавна собственост.</w:t>
            </w:r>
          </w:p>
        </w:tc>
        <w:bookmarkStart w:id="2" w:name="_GoBack"/>
        <w:bookmarkEnd w:id="2"/>
      </w:tr>
    </w:tbl>
    <w:p w:rsidR="00C83184" w:rsidRDefault="00DA48F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79"/>
        <w:gridCol w:w="7224"/>
        <w:gridCol w:w="1845"/>
        <w:gridCol w:w="4105"/>
      </w:tblGrid>
      <w:tr w:rsidR="00C83184">
        <w:trPr>
          <w:trHeight w:hRule="exact" w:val="4220"/>
          <w:jc w:val="center"/>
        </w:trPr>
        <w:tc>
          <w:tcPr>
            <w:tcW w:w="1979" w:type="dxa"/>
            <w:tcBorders>
              <w:top w:val="single" w:sz="4" w:space="0" w:color="auto"/>
              <w:left w:val="single" w:sz="4" w:space="0" w:color="auto"/>
              <w:bottom w:val="single" w:sz="4" w:space="0" w:color="auto"/>
            </w:tcBorders>
            <w:shd w:val="clear" w:color="auto" w:fill="FFFFFF"/>
          </w:tcPr>
          <w:p w:rsidR="00C83184" w:rsidRDefault="00C83184">
            <w:pPr>
              <w:rPr>
                <w:sz w:val="10"/>
                <w:szCs w:val="10"/>
              </w:rPr>
            </w:pPr>
          </w:p>
        </w:tc>
        <w:tc>
          <w:tcPr>
            <w:tcW w:w="7224" w:type="dxa"/>
            <w:tcBorders>
              <w:top w:val="single" w:sz="4" w:space="0" w:color="auto"/>
              <w:left w:val="single" w:sz="4" w:space="0" w:color="auto"/>
              <w:bottom w:val="single" w:sz="4" w:space="0" w:color="auto"/>
            </w:tcBorders>
            <w:shd w:val="clear" w:color="auto" w:fill="FFFFFF"/>
          </w:tcPr>
          <w:p w:rsidR="00C83184" w:rsidRDefault="00DA48FD">
            <w:pPr>
              <w:pStyle w:val="a2"/>
              <w:shd w:val="clear" w:color="auto" w:fill="auto"/>
              <w:spacing w:line="290" w:lineRule="auto"/>
              <w:ind w:firstLine="0"/>
              <w:jc w:val="both"/>
            </w:pPr>
            <w:r>
              <w:t xml:space="preserve">техническата инфраструктура - чл.7, ал.5, т.З, т.е. правото на строеж върху публична/частна държавна собственост може да се учреди, без </w:t>
            </w:r>
            <w:r>
              <w:rPr>
                <w:b/>
                <w:bCs/>
              </w:rPr>
              <w:t xml:space="preserve">да има необходимост от прехвърляне на тази собственост. </w:t>
            </w:r>
            <w:r>
              <w:t xml:space="preserve">И този механизъм би допринесъл многократно повече за </w:t>
            </w:r>
            <w:r>
              <w:rPr>
                <w:i/>
                <w:iCs/>
              </w:rPr>
              <w:t>„по-добрата координация и съгласуваност между ведомствата при предоставянето на държавни имоти на публичните търговци</w:t>
            </w:r>
            <w:r>
              <w:t xml:space="preserve"> От тази гледна точка, в готвените промени считаме, че прозира недобросъвестен опит за заобикаляне на Закона за държавната собственост и реална опасност имоти публична държавна собственост да бъдат придобити по заобиколен начин, без пряко решение на Министерски съвет на Република България, тъй като Министерски съвет може да предостави терените за железопътна инфраструктура, но след това те лесно да бъдат преподадени веднъж станали частна държавна собственост според чл.43, ал.4 от ЗДС.</w:t>
            </w:r>
          </w:p>
        </w:tc>
        <w:tc>
          <w:tcPr>
            <w:tcW w:w="1845" w:type="dxa"/>
            <w:tcBorders>
              <w:top w:val="single" w:sz="4" w:space="0" w:color="auto"/>
              <w:left w:val="single" w:sz="4" w:space="0" w:color="auto"/>
              <w:bottom w:val="single" w:sz="4" w:space="0" w:color="auto"/>
            </w:tcBorders>
            <w:shd w:val="clear" w:color="auto" w:fill="FFFFFF"/>
          </w:tcPr>
          <w:p w:rsidR="00C83184" w:rsidRDefault="00C83184">
            <w:pPr>
              <w:rPr>
                <w:sz w:val="10"/>
                <w:szCs w:val="10"/>
              </w:rPr>
            </w:pPr>
          </w:p>
        </w:tc>
        <w:tc>
          <w:tcPr>
            <w:tcW w:w="4105" w:type="dxa"/>
            <w:tcBorders>
              <w:top w:val="single" w:sz="4" w:space="0" w:color="auto"/>
              <w:left w:val="single" w:sz="4" w:space="0" w:color="auto"/>
              <w:bottom w:val="single" w:sz="4" w:space="0" w:color="auto"/>
              <w:right w:val="single" w:sz="4" w:space="0" w:color="auto"/>
            </w:tcBorders>
            <w:shd w:val="clear" w:color="auto" w:fill="FFFFFF"/>
          </w:tcPr>
          <w:p w:rsidR="00C83184" w:rsidRDefault="00C83184">
            <w:pPr>
              <w:rPr>
                <w:sz w:val="10"/>
                <w:szCs w:val="10"/>
              </w:rPr>
            </w:pPr>
          </w:p>
        </w:tc>
      </w:tr>
    </w:tbl>
    <w:p w:rsidR="00C83184" w:rsidRDefault="00C83184">
      <w:pPr>
        <w:sectPr w:rsidR="00C83184">
          <w:footerReference w:type="even" r:id="rId7"/>
          <w:footerReference w:type="default" r:id="rId8"/>
          <w:pgSz w:w="16840" w:h="11900" w:orient="landscape"/>
          <w:pgMar w:top="687" w:right="273" w:bottom="260" w:left="1414" w:header="259" w:footer="3" w:gutter="0"/>
          <w:pgNumType w:start="140"/>
          <w:cols w:space="720"/>
          <w:noEndnote/>
          <w:docGrid w:linePitch="360"/>
        </w:sectPr>
      </w:pPr>
    </w:p>
    <w:p w:rsidR="00C83184" w:rsidRDefault="00C83184" w:rsidP="00364B81">
      <w:pPr>
        <w:pStyle w:val="a0"/>
        <w:shd w:val="clear" w:color="auto" w:fill="auto"/>
        <w:spacing w:after="320" w:line="240" w:lineRule="auto"/>
        <w:ind w:right="460" w:firstLine="0"/>
        <w:jc w:val="right"/>
      </w:pPr>
    </w:p>
    <w:sectPr w:rsidR="00C83184">
      <w:footerReference w:type="even" r:id="rId9"/>
      <w:footerReference w:type="default" r:id="rId10"/>
      <w:pgSz w:w="11900" w:h="16840"/>
      <w:pgMar w:top="684" w:right="978" w:bottom="990" w:left="1421" w:header="25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1B" w:rsidRDefault="009B1F1B">
      <w:r>
        <w:separator/>
      </w:r>
    </w:p>
  </w:endnote>
  <w:endnote w:type="continuationSeparator" w:id="0">
    <w:p w:rsidR="009B1F1B" w:rsidRDefault="009B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84" w:rsidRDefault="00C8318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84" w:rsidRDefault="00C8318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84" w:rsidRDefault="00DA48FD">
    <w:pPr>
      <w:spacing w:line="1" w:lineRule="exact"/>
    </w:pPr>
    <w:r>
      <w:rPr>
        <w:noProof/>
        <w:lang w:bidi="ar-SA"/>
      </w:rPr>
      <mc:AlternateContent>
        <mc:Choice Requires="wps">
          <w:drawing>
            <wp:anchor distT="0" distB="0" distL="0" distR="0" simplePos="0" relativeHeight="62914743" behindDoc="1" locked="0" layoutInCell="1" allowOverlap="1">
              <wp:simplePos x="0" y="0"/>
              <wp:positionH relativeFrom="page">
                <wp:posOffset>6616700</wp:posOffset>
              </wp:positionH>
              <wp:positionV relativeFrom="page">
                <wp:posOffset>10064750</wp:posOffset>
              </wp:positionV>
              <wp:extent cx="42545" cy="109220"/>
              <wp:effectExtent l="0" t="0" r="0" b="0"/>
              <wp:wrapNone/>
              <wp:docPr id="256" name="Shape 256"/>
              <wp:cNvGraphicFramePr/>
              <a:graphic xmlns:a="http://schemas.openxmlformats.org/drawingml/2006/main">
                <a:graphicData uri="http://schemas.microsoft.com/office/word/2010/wordprocessingShape">
                  <wps:wsp>
                    <wps:cNvSpPr txBox="1"/>
                    <wps:spPr>
                      <a:xfrm>
                        <a:off x="0" y="0"/>
                        <a:ext cx="42545" cy="109220"/>
                      </a:xfrm>
                      <a:prstGeom prst="rect">
                        <a:avLst/>
                      </a:prstGeom>
                      <a:noFill/>
                    </wps:spPr>
                    <wps:txbx>
                      <w:txbxContent>
                        <w:p w:rsidR="00C83184" w:rsidRDefault="00DA48FD">
                          <w:pPr>
                            <w:pStyle w:val="a6"/>
                            <w:shd w:val="clear" w:color="auto" w:fill="auto"/>
                            <w:rPr>
                              <w:sz w:val="16"/>
                              <w:szCs w:val="16"/>
                            </w:rPr>
                          </w:pPr>
                          <w:r>
                            <w:rPr>
                              <w:sz w:val="16"/>
                              <w:szCs w:val="16"/>
                            </w:rPr>
                            <w:t>1</w:t>
                          </w:r>
                        </w:p>
                      </w:txbxContent>
                    </wps:txbx>
                    <wps:bodyPr wrap="none" lIns="0" tIns="0" rIns="0" bIns="0">
                      <a:spAutoFit/>
                    </wps:bodyPr>
                  </wps:wsp>
                </a:graphicData>
              </a:graphic>
            </wp:anchor>
          </w:drawing>
        </mc:Choice>
        <mc:Fallback>
          <w:pict>
            <v:shape id="_x0000_s1282" type="#_x0000_t202" style="position:absolute;margin-left:521.pt;margin-top:792.5pt;width:3.3500000000000001pt;height:8.5999999999999996pt;z-index:-188744010;mso-wrap-style:none;mso-wrap-distance-left:0;mso-wrap-distance-right:0;mso-position-horizontal-relative:page;mso-position-vertical-relative:page" wrapcoords="0 0" filled="f" stroked="f">
              <v:textbox style="mso-fit-shape-to-text:t" inset="0,0,0,0">
                <w:txbxContent>
                  <w:p>
                    <w:pPr>
                      <w:pStyle w:val="Style8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bg-BG" w:eastAsia="bg-BG" w:bidi="bg-BG"/>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84" w:rsidRDefault="00DA48FD">
    <w:pPr>
      <w:spacing w:line="1" w:lineRule="exact"/>
    </w:pPr>
    <w:r>
      <w:rPr>
        <w:noProof/>
        <w:lang w:bidi="ar-SA"/>
      </w:rPr>
      <mc:AlternateContent>
        <mc:Choice Requires="wps">
          <w:drawing>
            <wp:anchor distT="0" distB="0" distL="0" distR="0" simplePos="0" relativeHeight="62914741" behindDoc="1" locked="0" layoutInCell="1" allowOverlap="1">
              <wp:simplePos x="0" y="0"/>
              <wp:positionH relativeFrom="page">
                <wp:posOffset>6616700</wp:posOffset>
              </wp:positionH>
              <wp:positionV relativeFrom="page">
                <wp:posOffset>10064750</wp:posOffset>
              </wp:positionV>
              <wp:extent cx="42545" cy="109220"/>
              <wp:effectExtent l="0" t="0" r="0" b="0"/>
              <wp:wrapNone/>
              <wp:docPr id="254" name="Shape 254"/>
              <wp:cNvGraphicFramePr/>
              <a:graphic xmlns:a="http://schemas.openxmlformats.org/drawingml/2006/main">
                <a:graphicData uri="http://schemas.microsoft.com/office/word/2010/wordprocessingShape">
                  <wps:wsp>
                    <wps:cNvSpPr txBox="1"/>
                    <wps:spPr>
                      <a:xfrm>
                        <a:off x="0" y="0"/>
                        <a:ext cx="42545" cy="109220"/>
                      </a:xfrm>
                      <a:prstGeom prst="rect">
                        <a:avLst/>
                      </a:prstGeom>
                      <a:noFill/>
                    </wps:spPr>
                    <wps:txbx>
                      <w:txbxContent>
                        <w:p w:rsidR="00C83184" w:rsidRDefault="00DA48FD">
                          <w:pPr>
                            <w:pStyle w:val="a6"/>
                            <w:shd w:val="clear" w:color="auto" w:fill="auto"/>
                            <w:rPr>
                              <w:sz w:val="16"/>
                              <w:szCs w:val="16"/>
                            </w:rPr>
                          </w:pPr>
                          <w:r>
                            <w:rPr>
                              <w:sz w:val="16"/>
                              <w:szCs w:val="16"/>
                            </w:rPr>
                            <w:t>1</w:t>
                          </w:r>
                        </w:p>
                      </w:txbxContent>
                    </wps:txbx>
                    <wps:bodyPr wrap="none" lIns="0" tIns="0" rIns="0" bIns="0">
                      <a:spAutoFit/>
                    </wps:bodyPr>
                  </wps:wsp>
                </a:graphicData>
              </a:graphic>
            </wp:anchor>
          </w:drawing>
        </mc:Choice>
        <mc:Fallback>
          <w:pict>
            <v:shape id="_x0000_s1280" type="#_x0000_t202" style="position:absolute;margin-left:521.pt;margin-top:792.5pt;width:3.3500000000000001pt;height:8.5999999999999996pt;z-index:-188744012;mso-wrap-style:none;mso-wrap-distance-left:0;mso-wrap-distance-right:0;mso-position-horizontal-relative:page;mso-position-vertical-relative:page" wrapcoords="0 0" filled="f" stroked="f">
              <v:textbox style="mso-fit-shape-to-text:t" inset="0,0,0,0">
                <w:txbxContent>
                  <w:p>
                    <w:pPr>
                      <w:pStyle w:val="Style8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bg-BG" w:eastAsia="bg-BG" w:bidi="bg-BG"/>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1B" w:rsidRDefault="009B1F1B"/>
  </w:footnote>
  <w:footnote w:type="continuationSeparator" w:id="0">
    <w:p w:rsidR="009B1F1B" w:rsidRDefault="009B1F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439"/>
    <w:multiLevelType w:val="multilevel"/>
    <w:tmpl w:val="1E726646"/>
    <w:lvl w:ilvl="0">
      <w:start w:val="6"/>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3629B"/>
    <w:multiLevelType w:val="multilevel"/>
    <w:tmpl w:val="64408A0C"/>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66534"/>
    <w:multiLevelType w:val="multilevel"/>
    <w:tmpl w:val="9FBA2FD0"/>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41E04"/>
    <w:multiLevelType w:val="multilevel"/>
    <w:tmpl w:val="6FDA78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32A9C"/>
    <w:multiLevelType w:val="multilevel"/>
    <w:tmpl w:val="9856AC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26239"/>
    <w:multiLevelType w:val="multilevel"/>
    <w:tmpl w:val="C7163F0E"/>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22683E"/>
    <w:multiLevelType w:val="multilevel"/>
    <w:tmpl w:val="D6D664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B3161D"/>
    <w:multiLevelType w:val="multilevel"/>
    <w:tmpl w:val="2BD26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184E23"/>
    <w:multiLevelType w:val="multilevel"/>
    <w:tmpl w:val="AFEEE52C"/>
    <w:lvl w:ilvl="0">
      <w:start w:val="6"/>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E460EA"/>
    <w:multiLevelType w:val="multilevel"/>
    <w:tmpl w:val="615EAF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9228A4"/>
    <w:multiLevelType w:val="multilevel"/>
    <w:tmpl w:val="A6A69F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32245B"/>
    <w:multiLevelType w:val="multilevel"/>
    <w:tmpl w:val="D08867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AE4650"/>
    <w:multiLevelType w:val="multilevel"/>
    <w:tmpl w:val="39C6B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B21D9B"/>
    <w:multiLevelType w:val="multilevel"/>
    <w:tmpl w:val="D9E857F4"/>
    <w:lvl w:ilvl="0">
      <w:start w:val="15"/>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F40D4C"/>
    <w:multiLevelType w:val="multilevel"/>
    <w:tmpl w:val="B0982D44"/>
    <w:lvl w:ilvl="0">
      <w:start w:val="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957C41"/>
    <w:multiLevelType w:val="multilevel"/>
    <w:tmpl w:val="1ECE45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C101C6"/>
    <w:multiLevelType w:val="multilevel"/>
    <w:tmpl w:val="8ED4C2C2"/>
    <w:lvl w:ilvl="0">
      <w:start w:val="7"/>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4C5B2A"/>
    <w:multiLevelType w:val="multilevel"/>
    <w:tmpl w:val="60644F6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1B52DE"/>
    <w:multiLevelType w:val="multilevel"/>
    <w:tmpl w:val="D012B8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743455"/>
    <w:multiLevelType w:val="multilevel"/>
    <w:tmpl w:val="A3E2C2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E54F33"/>
    <w:multiLevelType w:val="multilevel"/>
    <w:tmpl w:val="3D88E7FC"/>
    <w:lvl w:ilvl="0">
      <w:start w:val="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5F5CEA"/>
    <w:multiLevelType w:val="multilevel"/>
    <w:tmpl w:val="B0A8BD36"/>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3015B2"/>
    <w:multiLevelType w:val="multilevel"/>
    <w:tmpl w:val="0B5ADD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8A0D1F"/>
    <w:multiLevelType w:val="multilevel"/>
    <w:tmpl w:val="17A803D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6B5D02"/>
    <w:multiLevelType w:val="multilevel"/>
    <w:tmpl w:val="C7020F80"/>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2A0176"/>
    <w:multiLevelType w:val="multilevel"/>
    <w:tmpl w:val="7EEED036"/>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B32776"/>
    <w:multiLevelType w:val="multilevel"/>
    <w:tmpl w:val="238277B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4C7597"/>
    <w:multiLevelType w:val="multilevel"/>
    <w:tmpl w:val="EAD47056"/>
    <w:lvl w:ilvl="0">
      <w:start w:val="7"/>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6F3445"/>
    <w:multiLevelType w:val="multilevel"/>
    <w:tmpl w:val="E9B8EFFC"/>
    <w:lvl w:ilvl="0">
      <w:start w:val="9"/>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181D54"/>
    <w:multiLevelType w:val="multilevel"/>
    <w:tmpl w:val="97366A16"/>
    <w:lvl w:ilvl="0">
      <w:start w:val="6"/>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E054BA"/>
    <w:multiLevelType w:val="multilevel"/>
    <w:tmpl w:val="786AD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6A74FF"/>
    <w:multiLevelType w:val="multilevel"/>
    <w:tmpl w:val="3FD2B7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33A7B83"/>
    <w:multiLevelType w:val="multilevel"/>
    <w:tmpl w:val="3D8C8B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41B2DBF"/>
    <w:multiLevelType w:val="multilevel"/>
    <w:tmpl w:val="463E18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42E7415"/>
    <w:multiLevelType w:val="multilevel"/>
    <w:tmpl w:val="1BFCE8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D662AB"/>
    <w:multiLevelType w:val="multilevel"/>
    <w:tmpl w:val="166EF4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B56BF7"/>
    <w:multiLevelType w:val="multilevel"/>
    <w:tmpl w:val="56E2A9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96C32E8"/>
    <w:multiLevelType w:val="multilevel"/>
    <w:tmpl w:val="4FA83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D94AA5"/>
    <w:multiLevelType w:val="multilevel"/>
    <w:tmpl w:val="BE2065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BC64CC2"/>
    <w:multiLevelType w:val="multilevel"/>
    <w:tmpl w:val="E9088300"/>
    <w:lvl w:ilvl="0">
      <w:start w:val="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CA122D8"/>
    <w:multiLevelType w:val="multilevel"/>
    <w:tmpl w:val="D084D5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EA4EC3"/>
    <w:multiLevelType w:val="multilevel"/>
    <w:tmpl w:val="A3DCCA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F1E32B1"/>
    <w:multiLevelType w:val="multilevel"/>
    <w:tmpl w:val="C2105A7C"/>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FA30A7E"/>
    <w:multiLevelType w:val="multilevel"/>
    <w:tmpl w:val="69F0962C"/>
    <w:lvl w:ilvl="0">
      <w:start w:val="1"/>
      <w:numFmt w:val="decimal"/>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05112FF"/>
    <w:multiLevelType w:val="multilevel"/>
    <w:tmpl w:val="FA66C084"/>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09F5CB3"/>
    <w:multiLevelType w:val="multilevel"/>
    <w:tmpl w:val="380CA778"/>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1051E2D"/>
    <w:multiLevelType w:val="multilevel"/>
    <w:tmpl w:val="D8BA01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0C040D"/>
    <w:multiLevelType w:val="multilevel"/>
    <w:tmpl w:val="289C7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674FBF"/>
    <w:multiLevelType w:val="multilevel"/>
    <w:tmpl w:val="476EC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71B28FC"/>
    <w:multiLevelType w:val="multilevel"/>
    <w:tmpl w:val="F89CFCA8"/>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1A2FCD"/>
    <w:multiLevelType w:val="multilevel"/>
    <w:tmpl w:val="1668FE4C"/>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9EA4913"/>
    <w:multiLevelType w:val="multilevel"/>
    <w:tmpl w:val="30F47238"/>
    <w:lvl w:ilvl="0">
      <w:start w:val="2"/>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A321233"/>
    <w:multiLevelType w:val="multilevel"/>
    <w:tmpl w:val="C6C2924A"/>
    <w:lvl w:ilvl="0">
      <w:start w:val="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BBA5237"/>
    <w:multiLevelType w:val="multilevel"/>
    <w:tmpl w:val="C2C6D4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C2B64CF"/>
    <w:multiLevelType w:val="multilevel"/>
    <w:tmpl w:val="6A804F5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7F6074"/>
    <w:multiLevelType w:val="multilevel"/>
    <w:tmpl w:val="FE7C8E2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DAB53CA"/>
    <w:multiLevelType w:val="multilevel"/>
    <w:tmpl w:val="5A9ED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E8217CC"/>
    <w:multiLevelType w:val="multilevel"/>
    <w:tmpl w:val="3DC056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ECA7334"/>
    <w:multiLevelType w:val="multilevel"/>
    <w:tmpl w:val="CE16D9B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A82147"/>
    <w:multiLevelType w:val="multilevel"/>
    <w:tmpl w:val="9286BC7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06748A0"/>
    <w:multiLevelType w:val="multilevel"/>
    <w:tmpl w:val="C79E7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21C428B"/>
    <w:multiLevelType w:val="multilevel"/>
    <w:tmpl w:val="46B6481C"/>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27C1A47"/>
    <w:multiLevelType w:val="multilevel"/>
    <w:tmpl w:val="8B8AB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6280515"/>
    <w:multiLevelType w:val="multilevel"/>
    <w:tmpl w:val="452625BA"/>
    <w:lvl w:ilvl="0">
      <w:start w:val="9"/>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C713420"/>
    <w:multiLevelType w:val="multilevel"/>
    <w:tmpl w:val="FDCC13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CFC0CA7"/>
    <w:multiLevelType w:val="multilevel"/>
    <w:tmpl w:val="36ACB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FF572F3"/>
    <w:multiLevelType w:val="multilevel"/>
    <w:tmpl w:val="2D2A181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0B5558D"/>
    <w:multiLevelType w:val="multilevel"/>
    <w:tmpl w:val="AB869FB2"/>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0DF04C4"/>
    <w:multiLevelType w:val="multilevel"/>
    <w:tmpl w:val="1AF473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1E97130"/>
    <w:multiLevelType w:val="multilevel"/>
    <w:tmpl w:val="02F482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2E52B85"/>
    <w:multiLevelType w:val="multilevel"/>
    <w:tmpl w:val="AB6CBFBE"/>
    <w:lvl w:ilvl="0">
      <w:start w:val="1"/>
      <w:numFmt w:val="decimal"/>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3A861EB"/>
    <w:multiLevelType w:val="multilevel"/>
    <w:tmpl w:val="95846D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3CE26E9"/>
    <w:multiLevelType w:val="multilevel"/>
    <w:tmpl w:val="FBD012F6"/>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41828A7"/>
    <w:multiLevelType w:val="multilevel"/>
    <w:tmpl w:val="6D3CFB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4B709EF"/>
    <w:multiLevelType w:val="multilevel"/>
    <w:tmpl w:val="88EEB2AA"/>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5500627"/>
    <w:multiLevelType w:val="multilevel"/>
    <w:tmpl w:val="4D7887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57E5099"/>
    <w:multiLevelType w:val="multilevel"/>
    <w:tmpl w:val="A21CAC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6CF4F1C"/>
    <w:multiLevelType w:val="multilevel"/>
    <w:tmpl w:val="699E45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92E6190"/>
    <w:multiLevelType w:val="multilevel"/>
    <w:tmpl w:val="23C220C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9A2408E"/>
    <w:multiLevelType w:val="multilevel"/>
    <w:tmpl w:val="70A27D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B8C2112"/>
    <w:multiLevelType w:val="multilevel"/>
    <w:tmpl w:val="C07605D0"/>
    <w:lvl w:ilvl="0">
      <w:start w:val="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C861399"/>
    <w:multiLevelType w:val="multilevel"/>
    <w:tmpl w:val="174E5B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C7548C"/>
    <w:multiLevelType w:val="multilevel"/>
    <w:tmpl w:val="8D7441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0DD2E32"/>
    <w:multiLevelType w:val="multilevel"/>
    <w:tmpl w:val="FE5E2A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4287EF0"/>
    <w:multiLevelType w:val="multilevel"/>
    <w:tmpl w:val="15B666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4AC364D"/>
    <w:multiLevelType w:val="multilevel"/>
    <w:tmpl w:val="BEF69A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4D152A9"/>
    <w:multiLevelType w:val="multilevel"/>
    <w:tmpl w:val="AF78F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1711D"/>
    <w:multiLevelType w:val="multilevel"/>
    <w:tmpl w:val="75D84AAE"/>
    <w:lvl w:ilvl="0">
      <w:start w:val="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734492F"/>
    <w:multiLevelType w:val="multilevel"/>
    <w:tmpl w:val="BFDAB0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8077B45"/>
    <w:multiLevelType w:val="multilevel"/>
    <w:tmpl w:val="9E882DF8"/>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C8144DA"/>
    <w:multiLevelType w:val="multilevel"/>
    <w:tmpl w:val="4080FA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CE95288"/>
    <w:multiLevelType w:val="multilevel"/>
    <w:tmpl w:val="DCAC5B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E9325DB"/>
    <w:multiLevelType w:val="multilevel"/>
    <w:tmpl w:val="DAA0A4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EB24E28"/>
    <w:multiLevelType w:val="multilevel"/>
    <w:tmpl w:val="475AC2C8"/>
    <w:lvl w:ilvl="0">
      <w:start w:val="5"/>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F94287F"/>
    <w:multiLevelType w:val="multilevel"/>
    <w:tmpl w:val="776CE420"/>
    <w:lvl w:ilvl="0">
      <w:start w:val="2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FC866B8"/>
    <w:multiLevelType w:val="multilevel"/>
    <w:tmpl w:val="D16CBC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3"/>
  </w:num>
  <w:num w:numId="3">
    <w:abstractNumId w:val="62"/>
  </w:num>
  <w:num w:numId="4">
    <w:abstractNumId w:val="91"/>
  </w:num>
  <w:num w:numId="5">
    <w:abstractNumId w:val="65"/>
  </w:num>
  <w:num w:numId="6">
    <w:abstractNumId w:val="86"/>
  </w:num>
  <w:num w:numId="7">
    <w:abstractNumId w:val="56"/>
  </w:num>
  <w:num w:numId="8">
    <w:abstractNumId w:val="47"/>
  </w:num>
  <w:num w:numId="9">
    <w:abstractNumId w:val="12"/>
  </w:num>
  <w:num w:numId="10">
    <w:abstractNumId w:val="60"/>
  </w:num>
  <w:num w:numId="11">
    <w:abstractNumId w:val="58"/>
  </w:num>
  <w:num w:numId="12">
    <w:abstractNumId w:val="51"/>
  </w:num>
  <w:num w:numId="13">
    <w:abstractNumId w:val="29"/>
  </w:num>
  <w:num w:numId="14">
    <w:abstractNumId w:val="17"/>
  </w:num>
  <w:num w:numId="15">
    <w:abstractNumId w:val="61"/>
  </w:num>
  <w:num w:numId="16">
    <w:abstractNumId w:val="66"/>
  </w:num>
  <w:num w:numId="17">
    <w:abstractNumId w:val="28"/>
  </w:num>
  <w:num w:numId="18">
    <w:abstractNumId w:val="9"/>
  </w:num>
  <w:num w:numId="19">
    <w:abstractNumId w:val="33"/>
  </w:num>
  <w:num w:numId="20">
    <w:abstractNumId w:val="95"/>
  </w:num>
  <w:num w:numId="21">
    <w:abstractNumId w:val="92"/>
  </w:num>
  <w:num w:numId="22">
    <w:abstractNumId w:val="39"/>
  </w:num>
  <w:num w:numId="23">
    <w:abstractNumId w:val="94"/>
  </w:num>
  <w:num w:numId="24">
    <w:abstractNumId w:val="27"/>
  </w:num>
  <w:num w:numId="25">
    <w:abstractNumId w:val="13"/>
  </w:num>
  <w:num w:numId="26">
    <w:abstractNumId w:val="63"/>
  </w:num>
  <w:num w:numId="27">
    <w:abstractNumId w:val="77"/>
  </w:num>
  <w:num w:numId="28">
    <w:abstractNumId w:val="89"/>
  </w:num>
  <w:num w:numId="29">
    <w:abstractNumId w:val="84"/>
  </w:num>
  <w:num w:numId="30">
    <w:abstractNumId w:val="20"/>
  </w:num>
  <w:num w:numId="31">
    <w:abstractNumId w:val="38"/>
  </w:num>
  <w:num w:numId="32">
    <w:abstractNumId w:val="7"/>
  </w:num>
  <w:num w:numId="33">
    <w:abstractNumId w:val="71"/>
  </w:num>
  <w:num w:numId="34">
    <w:abstractNumId w:val="80"/>
  </w:num>
  <w:num w:numId="35">
    <w:abstractNumId w:val="40"/>
  </w:num>
  <w:num w:numId="36">
    <w:abstractNumId w:val="81"/>
  </w:num>
  <w:num w:numId="37">
    <w:abstractNumId w:val="5"/>
  </w:num>
  <w:num w:numId="38">
    <w:abstractNumId w:val="34"/>
  </w:num>
  <w:num w:numId="39">
    <w:abstractNumId w:val="8"/>
  </w:num>
  <w:num w:numId="40">
    <w:abstractNumId w:val="36"/>
  </w:num>
  <w:num w:numId="41">
    <w:abstractNumId w:val="74"/>
  </w:num>
  <w:num w:numId="42">
    <w:abstractNumId w:val="50"/>
  </w:num>
  <w:num w:numId="43">
    <w:abstractNumId w:val="21"/>
  </w:num>
  <w:num w:numId="44">
    <w:abstractNumId w:val="35"/>
  </w:num>
  <w:num w:numId="45">
    <w:abstractNumId w:val="52"/>
  </w:num>
  <w:num w:numId="46">
    <w:abstractNumId w:val="73"/>
  </w:num>
  <w:num w:numId="47">
    <w:abstractNumId w:val="30"/>
  </w:num>
  <w:num w:numId="48">
    <w:abstractNumId w:val="44"/>
  </w:num>
  <w:num w:numId="49">
    <w:abstractNumId w:val="19"/>
  </w:num>
  <w:num w:numId="50">
    <w:abstractNumId w:val="82"/>
  </w:num>
  <w:num w:numId="51">
    <w:abstractNumId w:val="6"/>
  </w:num>
  <w:num w:numId="52">
    <w:abstractNumId w:val="41"/>
  </w:num>
  <w:num w:numId="53">
    <w:abstractNumId w:val="10"/>
  </w:num>
  <w:num w:numId="54">
    <w:abstractNumId w:val="55"/>
  </w:num>
  <w:num w:numId="55">
    <w:abstractNumId w:val="49"/>
  </w:num>
  <w:num w:numId="56">
    <w:abstractNumId w:val="26"/>
  </w:num>
  <w:num w:numId="57">
    <w:abstractNumId w:val="42"/>
  </w:num>
  <w:num w:numId="58">
    <w:abstractNumId w:val="69"/>
  </w:num>
  <w:num w:numId="59">
    <w:abstractNumId w:val="76"/>
  </w:num>
  <w:num w:numId="60">
    <w:abstractNumId w:val="78"/>
  </w:num>
  <w:num w:numId="61">
    <w:abstractNumId w:val="16"/>
  </w:num>
  <w:num w:numId="62">
    <w:abstractNumId w:val="14"/>
  </w:num>
  <w:num w:numId="63">
    <w:abstractNumId w:val="0"/>
  </w:num>
  <w:num w:numId="64">
    <w:abstractNumId w:val="15"/>
  </w:num>
  <w:num w:numId="65">
    <w:abstractNumId w:val="90"/>
  </w:num>
  <w:num w:numId="66">
    <w:abstractNumId w:val="46"/>
  </w:num>
  <w:num w:numId="67">
    <w:abstractNumId w:val="85"/>
  </w:num>
  <w:num w:numId="68">
    <w:abstractNumId w:val="4"/>
  </w:num>
  <w:num w:numId="69">
    <w:abstractNumId w:val="88"/>
  </w:num>
  <w:num w:numId="70">
    <w:abstractNumId w:val="68"/>
  </w:num>
  <w:num w:numId="71">
    <w:abstractNumId w:val="57"/>
  </w:num>
  <w:num w:numId="72">
    <w:abstractNumId w:val="11"/>
  </w:num>
  <w:num w:numId="73">
    <w:abstractNumId w:val="93"/>
  </w:num>
  <w:num w:numId="74">
    <w:abstractNumId w:val="18"/>
  </w:num>
  <w:num w:numId="75">
    <w:abstractNumId w:val="70"/>
  </w:num>
  <w:num w:numId="76">
    <w:abstractNumId w:val="43"/>
  </w:num>
  <w:num w:numId="77">
    <w:abstractNumId w:val="64"/>
  </w:num>
  <w:num w:numId="78">
    <w:abstractNumId w:val="45"/>
  </w:num>
  <w:num w:numId="79">
    <w:abstractNumId w:val="22"/>
  </w:num>
  <w:num w:numId="80">
    <w:abstractNumId w:val="72"/>
  </w:num>
  <w:num w:numId="81">
    <w:abstractNumId w:val="79"/>
  </w:num>
  <w:num w:numId="82">
    <w:abstractNumId w:val="87"/>
  </w:num>
  <w:num w:numId="83">
    <w:abstractNumId w:val="25"/>
  </w:num>
  <w:num w:numId="84">
    <w:abstractNumId w:val="24"/>
  </w:num>
  <w:num w:numId="85">
    <w:abstractNumId w:val="2"/>
  </w:num>
  <w:num w:numId="86">
    <w:abstractNumId w:val="48"/>
  </w:num>
  <w:num w:numId="87">
    <w:abstractNumId w:val="1"/>
  </w:num>
  <w:num w:numId="88">
    <w:abstractNumId w:val="54"/>
  </w:num>
  <w:num w:numId="89">
    <w:abstractNumId w:val="67"/>
  </w:num>
  <w:num w:numId="90">
    <w:abstractNumId w:val="83"/>
  </w:num>
  <w:num w:numId="91">
    <w:abstractNumId w:val="53"/>
  </w:num>
  <w:num w:numId="92">
    <w:abstractNumId w:val="32"/>
  </w:num>
  <w:num w:numId="93">
    <w:abstractNumId w:val="3"/>
  </w:num>
  <w:num w:numId="94">
    <w:abstractNumId w:val="31"/>
  </w:num>
  <w:num w:numId="95">
    <w:abstractNumId w:val="75"/>
  </w:num>
  <w:num w:numId="96">
    <w:abstractNumId w:val="5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84"/>
    <w:rsid w:val="00364B81"/>
    <w:rsid w:val="009B1F1B"/>
    <w:rsid w:val="00BD7C8E"/>
    <w:rsid w:val="00C83184"/>
    <w:rsid w:val="00DA48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CF174-66A1-4DA1-837A-8BCD09AF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ен текст (2)_"/>
    <w:basedOn w:val="DefaultParagraphFont"/>
    <w:link w:val="20"/>
    <w:rPr>
      <w:rFonts w:ascii="Arial" w:eastAsia="Arial" w:hAnsi="Arial" w:cs="Arial"/>
      <w:b w:val="0"/>
      <w:bCs w:val="0"/>
      <w:i w:val="0"/>
      <w:iCs w:val="0"/>
      <w:smallCaps w:val="0"/>
      <w:strike w:val="0"/>
      <w:sz w:val="19"/>
      <w:szCs w:val="19"/>
      <w:u w:val="none"/>
    </w:rPr>
  </w:style>
  <w:style w:type="character" w:customStyle="1" w:styleId="a">
    <w:name w:val="Основен текст_"/>
    <w:basedOn w:val="DefaultParagraphFont"/>
    <w:link w:val="a0"/>
    <w:rPr>
      <w:rFonts w:ascii="Times New Roman" w:eastAsia="Times New Roman" w:hAnsi="Times New Roman" w:cs="Times New Roman"/>
      <w:b w:val="0"/>
      <w:bCs w:val="0"/>
      <w:i w:val="0"/>
      <w:iCs w:val="0"/>
      <w:smallCaps w:val="0"/>
      <w:strike w:val="0"/>
      <w:sz w:val="20"/>
      <w:szCs w:val="20"/>
      <w:u w:val="none"/>
    </w:rPr>
  </w:style>
  <w:style w:type="character" w:customStyle="1" w:styleId="a1">
    <w:name w:val="Други_"/>
    <w:basedOn w:val="DefaultParagraphFont"/>
    <w:link w:val="a2"/>
    <w:rPr>
      <w:rFonts w:ascii="Times New Roman" w:eastAsia="Times New Roman" w:hAnsi="Times New Roman" w:cs="Times New Roman"/>
      <w:b w:val="0"/>
      <w:bCs w:val="0"/>
      <w:i w:val="0"/>
      <w:iCs w:val="0"/>
      <w:smallCaps w:val="0"/>
      <w:strike w:val="0"/>
      <w:sz w:val="20"/>
      <w:szCs w:val="20"/>
      <w:u w:val="none"/>
    </w:rPr>
  </w:style>
  <w:style w:type="character" w:customStyle="1" w:styleId="8">
    <w:name w:val="Заглавие #8_"/>
    <w:basedOn w:val="DefaultParagraphFont"/>
    <w:link w:val="80"/>
    <w:rPr>
      <w:rFonts w:ascii="Times New Roman" w:eastAsia="Times New Roman" w:hAnsi="Times New Roman" w:cs="Times New Roman"/>
      <w:b/>
      <w:bCs/>
      <w:i w:val="0"/>
      <w:iCs w:val="0"/>
      <w:smallCaps w:val="0"/>
      <w:strike w:val="0"/>
      <w:sz w:val="20"/>
      <w:szCs w:val="20"/>
      <w:u w:val="none"/>
    </w:rPr>
  </w:style>
  <w:style w:type="character" w:customStyle="1" w:styleId="a3">
    <w:name w:val="Заглавие на изображение_"/>
    <w:basedOn w:val="DefaultParagraphFont"/>
    <w:link w:val="a4"/>
    <w:rPr>
      <w:rFonts w:ascii="Times New Roman" w:eastAsia="Times New Roman" w:hAnsi="Times New Roman" w:cs="Times New Roman"/>
      <w:b w:val="0"/>
      <w:bCs w:val="0"/>
      <w:i/>
      <w:iCs/>
      <w:smallCaps w:val="0"/>
      <w:strike w:val="0"/>
      <w:sz w:val="18"/>
      <w:szCs w:val="18"/>
      <w:u w:val="none"/>
    </w:rPr>
  </w:style>
  <w:style w:type="character" w:customStyle="1" w:styleId="6">
    <w:name w:val="Заглавие #6_"/>
    <w:basedOn w:val="DefaultParagraphFont"/>
    <w:link w:val="60"/>
    <w:rPr>
      <w:rFonts w:ascii="Arial" w:eastAsia="Arial" w:hAnsi="Arial" w:cs="Arial"/>
      <w:b w:val="0"/>
      <w:bCs w:val="0"/>
      <w:i w:val="0"/>
      <w:iCs w:val="0"/>
      <w:smallCaps w:val="0"/>
      <w:strike w:val="0"/>
      <w:sz w:val="28"/>
      <w:szCs w:val="28"/>
      <w:u w:val="none"/>
    </w:rPr>
  </w:style>
  <w:style w:type="character" w:customStyle="1" w:styleId="21">
    <w:name w:val="Горен или долен колонтитул (2)_"/>
    <w:basedOn w:val="DefaultParagraphFont"/>
    <w:link w:val="22"/>
    <w:rPr>
      <w:rFonts w:ascii="Times New Roman" w:eastAsia="Times New Roman" w:hAnsi="Times New Roman" w:cs="Times New Roman"/>
      <w:b w:val="0"/>
      <w:bCs w:val="0"/>
      <w:i w:val="0"/>
      <w:iCs w:val="0"/>
      <w:smallCaps w:val="0"/>
      <w:strike w:val="0"/>
      <w:sz w:val="20"/>
      <w:szCs w:val="20"/>
      <w:u w:val="none"/>
    </w:rPr>
  </w:style>
  <w:style w:type="character" w:customStyle="1" w:styleId="7">
    <w:name w:val="Заглавие #7_"/>
    <w:basedOn w:val="DefaultParagraphFont"/>
    <w:link w:val="70"/>
    <w:rPr>
      <w:rFonts w:ascii="Times New Roman" w:eastAsia="Times New Roman" w:hAnsi="Times New Roman" w:cs="Times New Roman"/>
      <w:b/>
      <w:bCs/>
      <w:i w:val="0"/>
      <w:iCs w:val="0"/>
      <w:smallCaps w:val="0"/>
      <w:strike w:val="0"/>
      <w:sz w:val="26"/>
      <w:szCs w:val="26"/>
      <w:u w:val="none"/>
    </w:rPr>
  </w:style>
  <w:style w:type="character" w:customStyle="1" w:styleId="3">
    <w:name w:val="Заглавие #3_"/>
    <w:basedOn w:val="DefaultParagraphFont"/>
    <w:link w:val="30"/>
    <w:rPr>
      <w:rFonts w:ascii="Times New Roman" w:eastAsia="Times New Roman" w:hAnsi="Times New Roman" w:cs="Times New Roman"/>
      <w:b w:val="0"/>
      <w:bCs w:val="0"/>
      <w:i w:val="0"/>
      <w:iCs w:val="0"/>
      <w:smallCaps w:val="0"/>
      <w:strike w:val="0"/>
      <w:sz w:val="34"/>
      <w:szCs w:val="34"/>
      <w:u w:val="none"/>
    </w:rPr>
  </w:style>
  <w:style w:type="character" w:customStyle="1" w:styleId="1">
    <w:name w:val="Заглавие #1_"/>
    <w:basedOn w:val="DefaultParagraphFont"/>
    <w:link w:val="10"/>
    <w:rPr>
      <w:rFonts w:ascii="Arial" w:eastAsia="Arial" w:hAnsi="Arial" w:cs="Arial"/>
      <w:b w:val="0"/>
      <w:bCs w:val="0"/>
      <w:i w:val="0"/>
      <w:iCs w:val="0"/>
      <w:smallCaps w:val="0"/>
      <w:strike w:val="0"/>
      <w:sz w:val="94"/>
      <w:szCs w:val="94"/>
      <w:u w:val="none"/>
      <w:lang w:val="en-US" w:eastAsia="en-US" w:bidi="en-US"/>
    </w:rPr>
  </w:style>
  <w:style w:type="character" w:customStyle="1" w:styleId="23">
    <w:name w:val="Заглавие #2_"/>
    <w:basedOn w:val="DefaultParagraphFont"/>
    <w:link w:val="24"/>
    <w:rPr>
      <w:rFonts w:ascii="Times New Roman" w:eastAsia="Times New Roman" w:hAnsi="Times New Roman" w:cs="Times New Roman"/>
      <w:b/>
      <w:bCs/>
      <w:i w:val="0"/>
      <w:iCs w:val="0"/>
      <w:smallCaps w:val="0"/>
      <w:strike w:val="0"/>
      <w:sz w:val="38"/>
      <w:szCs w:val="38"/>
      <w:u w:val="none"/>
    </w:rPr>
  </w:style>
  <w:style w:type="character" w:customStyle="1" w:styleId="5">
    <w:name w:val="Заглавие #5_"/>
    <w:basedOn w:val="DefaultParagraphFont"/>
    <w:link w:val="50"/>
    <w:rPr>
      <w:rFonts w:ascii="Times New Roman" w:eastAsia="Times New Roman" w:hAnsi="Times New Roman" w:cs="Times New Roman"/>
      <w:b/>
      <w:bCs/>
      <w:i w:val="0"/>
      <w:iCs w:val="0"/>
      <w:smallCaps w:val="0"/>
      <w:strike w:val="0"/>
      <w:sz w:val="30"/>
      <w:szCs w:val="30"/>
      <w:u w:val="none"/>
    </w:rPr>
  </w:style>
  <w:style w:type="character" w:customStyle="1" w:styleId="a5">
    <w:name w:val="Горен или долен колонтитул_"/>
    <w:basedOn w:val="DefaultParagraphFont"/>
    <w:link w:val="a6"/>
    <w:rPr>
      <w:rFonts w:ascii="Arial" w:eastAsia="Arial" w:hAnsi="Arial" w:cs="Arial"/>
      <w:b w:val="0"/>
      <w:bCs w:val="0"/>
      <w:i w:val="0"/>
      <w:iCs w:val="0"/>
      <w:smallCaps w:val="0"/>
      <w:strike w:val="0"/>
      <w:sz w:val="19"/>
      <w:szCs w:val="19"/>
      <w:u w:val="none"/>
    </w:rPr>
  </w:style>
  <w:style w:type="character" w:customStyle="1" w:styleId="4">
    <w:name w:val="Заглавие #4_"/>
    <w:basedOn w:val="DefaultParagraphFont"/>
    <w:link w:val="40"/>
    <w:rPr>
      <w:rFonts w:ascii="Times New Roman" w:eastAsia="Times New Roman" w:hAnsi="Times New Roman" w:cs="Times New Roman"/>
      <w:b/>
      <w:bCs/>
      <w:i w:val="0"/>
      <w:iCs w:val="0"/>
      <w:smallCaps w:val="0"/>
      <w:strike w:val="0"/>
      <w:sz w:val="32"/>
      <w:szCs w:val="32"/>
      <w:u w:val="none"/>
    </w:rPr>
  </w:style>
  <w:style w:type="paragraph" w:customStyle="1" w:styleId="20">
    <w:name w:val="Основен текст (2)"/>
    <w:basedOn w:val="Normal"/>
    <w:link w:val="2"/>
    <w:pPr>
      <w:shd w:val="clear" w:color="auto" w:fill="FFFFFF"/>
      <w:spacing w:line="266" w:lineRule="auto"/>
    </w:pPr>
    <w:rPr>
      <w:rFonts w:ascii="Arial" w:eastAsia="Arial" w:hAnsi="Arial" w:cs="Arial"/>
      <w:sz w:val="19"/>
      <w:szCs w:val="19"/>
    </w:rPr>
  </w:style>
  <w:style w:type="paragraph" w:customStyle="1" w:styleId="a0">
    <w:name w:val="Основен текст"/>
    <w:basedOn w:val="Normal"/>
    <w:link w:val="a"/>
    <w:pPr>
      <w:shd w:val="clear" w:color="auto" w:fill="FFFFFF"/>
      <w:spacing w:line="288" w:lineRule="auto"/>
      <w:ind w:firstLine="400"/>
    </w:pPr>
    <w:rPr>
      <w:rFonts w:ascii="Times New Roman" w:eastAsia="Times New Roman" w:hAnsi="Times New Roman" w:cs="Times New Roman"/>
      <w:sz w:val="20"/>
      <w:szCs w:val="20"/>
    </w:rPr>
  </w:style>
  <w:style w:type="paragraph" w:customStyle="1" w:styleId="a2">
    <w:name w:val="Други"/>
    <w:basedOn w:val="Normal"/>
    <w:link w:val="a1"/>
    <w:pPr>
      <w:shd w:val="clear" w:color="auto" w:fill="FFFFFF"/>
      <w:spacing w:line="288" w:lineRule="auto"/>
      <w:ind w:firstLine="400"/>
    </w:pPr>
    <w:rPr>
      <w:rFonts w:ascii="Times New Roman" w:eastAsia="Times New Roman" w:hAnsi="Times New Roman" w:cs="Times New Roman"/>
      <w:sz w:val="20"/>
      <w:szCs w:val="20"/>
    </w:rPr>
  </w:style>
  <w:style w:type="paragraph" w:customStyle="1" w:styleId="80">
    <w:name w:val="Заглавие #8"/>
    <w:basedOn w:val="Normal"/>
    <w:link w:val="8"/>
    <w:pPr>
      <w:shd w:val="clear" w:color="auto" w:fill="FFFFFF"/>
      <w:spacing w:after="180" w:line="288" w:lineRule="auto"/>
      <w:outlineLvl w:val="7"/>
    </w:pPr>
    <w:rPr>
      <w:rFonts w:ascii="Times New Roman" w:eastAsia="Times New Roman" w:hAnsi="Times New Roman" w:cs="Times New Roman"/>
      <w:b/>
      <w:bCs/>
      <w:sz w:val="20"/>
      <w:szCs w:val="20"/>
    </w:rPr>
  </w:style>
  <w:style w:type="paragraph" w:customStyle="1" w:styleId="a4">
    <w:name w:val="Заглавие на изображение"/>
    <w:basedOn w:val="Normal"/>
    <w:link w:val="a3"/>
    <w:pPr>
      <w:shd w:val="clear" w:color="auto" w:fill="FFFFFF"/>
    </w:pPr>
    <w:rPr>
      <w:rFonts w:ascii="Times New Roman" w:eastAsia="Times New Roman" w:hAnsi="Times New Roman" w:cs="Times New Roman"/>
      <w:i/>
      <w:iCs/>
      <w:sz w:val="18"/>
      <w:szCs w:val="18"/>
    </w:rPr>
  </w:style>
  <w:style w:type="paragraph" w:customStyle="1" w:styleId="60">
    <w:name w:val="Заглавие #6"/>
    <w:basedOn w:val="Normal"/>
    <w:link w:val="6"/>
    <w:pPr>
      <w:shd w:val="clear" w:color="auto" w:fill="FFFFFF"/>
      <w:spacing w:after="40" w:line="204" w:lineRule="auto"/>
      <w:outlineLvl w:val="5"/>
    </w:pPr>
    <w:rPr>
      <w:rFonts w:ascii="Arial" w:eastAsia="Arial" w:hAnsi="Arial" w:cs="Arial"/>
      <w:sz w:val="28"/>
      <w:szCs w:val="28"/>
    </w:rPr>
  </w:style>
  <w:style w:type="paragraph" w:customStyle="1" w:styleId="22">
    <w:name w:val="Горен или долен колонтитул (2)"/>
    <w:basedOn w:val="Normal"/>
    <w:link w:val="21"/>
    <w:pPr>
      <w:shd w:val="clear" w:color="auto" w:fill="FFFFFF"/>
    </w:pPr>
    <w:rPr>
      <w:rFonts w:ascii="Times New Roman" w:eastAsia="Times New Roman" w:hAnsi="Times New Roman" w:cs="Times New Roman"/>
      <w:sz w:val="20"/>
      <w:szCs w:val="20"/>
    </w:rPr>
  </w:style>
  <w:style w:type="paragraph" w:customStyle="1" w:styleId="70">
    <w:name w:val="Заглавие #7"/>
    <w:basedOn w:val="Normal"/>
    <w:link w:val="7"/>
    <w:pPr>
      <w:shd w:val="clear" w:color="auto" w:fill="FFFFFF"/>
      <w:spacing w:after="520" w:line="247" w:lineRule="auto"/>
      <w:jc w:val="center"/>
      <w:outlineLvl w:val="6"/>
    </w:pPr>
    <w:rPr>
      <w:rFonts w:ascii="Times New Roman" w:eastAsia="Times New Roman" w:hAnsi="Times New Roman" w:cs="Times New Roman"/>
      <w:b/>
      <w:bCs/>
      <w:sz w:val="26"/>
      <w:szCs w:val="26"/>
    </w:rPr>
  </w:style>
  <w:style w:type="paragraph" w:customStyle="1" w:styleId="30">
    <w:name w:val="Заглавие #3"/>
    <w:basedOn w:val="Normal"/>
    <w:link w:val="3"/>
    <w:pPr>
      <w:shd w:val="clear" w:color="auto" w:fill="FFFFFF"/>
      <w:spacing w:after="280"/>
      <w:jc w:val="center"/>
      <w:outlineLvl w:val="2"/>
    </w:pPr>
    <w:rPr>
      <w:rFonts w:ascii="Times New Roman" w:eastAsia="Times New Roman" w:hAnsi="Times New Roman" w:cs="Times New Roman"/>
      <w:sz w:val="34"/>
      <w:szCs w:val="34"/>
    </w:rPr>
  </w:style>
  <w:style w:type="paragraph" w:customStyle="1" w:styleId="10">
    <w:name w:val="Заглавие #1"/>
    <w:basedOn w:val="Normal"/>
    <w:link w:val="1"/>
    <w:pPr>
      <w:shd w:val="clear" w:color="auto" w:fill="FFFFFF"/>
      <w:outlineLvl w:val="0"/>
    </w:pPr>
    <w:rPr>
      <w:rFonts w:ascii="Arial" w:eastAsia="Arial" w:hAnsi="Arial" w:cs="Arial"/>
      <w:sz w:val="94"/>
      <w:szCs w:val="94"/>
      <w:lang w:val="en-US" w:eastAsia="en-US" w:bidi="en-US"/>
    </w:rPr>
  </w:style>
  <w:style w:type="paragraph" w:customStyle="1" w:styleId="24">
    <w:name w:val="Заглавие #2"/>
    <w:basedOn w:val="Normal"/>
    <w:link w:val="23"/>
    <w:pPr>
      <w:shd w:val="clear" w:color="auto" w:fill="FFFFFF"/>
      <w:jc w:val="center"/>
      <w:outlineLvl w:val="1"/>
    </w:pPr>
    <w:rPr>
      <w:rFonts w:ascii="Times New Roman" w:eastAsia="Times New Roman" w:hAnsi="Times New Roman" w:cs="Times New Roman"/>
      <w:b/>
      <w:bCs/>
      <w:sz w:val="38"/>
      <w:szCs w:val="38"/>
    </w:rPr>
  </w:style>
  <w:style w:type="paragraph" w:customStyle="1" w:styleId="50">
    <w:name w:val="Заглавие #5"/>
    <w:basedOn w:val="Normal"/>
    <w:link w:val="5"/>
    <w:pPr>
      <w:shd w:val="clear" w:color="auto" w:fill="FFFFFF"/>
      <w:spacing w:after="280"/>
      <w:jc w:val="center"/>
      <w:outlineLvl w:val="4"/>
    </w:pPr>
    <w:rPr>
      <w:rFonts w:ascii="Times New Roman" w:eastAsia="Times New Roman" w:hAnsi="Times New Roman" w:cs="Times New Roman"/>
      <w:b/>
      <w:bCs/>
      <w:sz w:val="30"/>
      <w:szCs w:val="30"/>
    </w:rPr>
  </w:style>
  <w:style w:type="paragraph" w:customStyle="1" w:styleId="a6">
    <w:name w:val="Горен или долен колонтитул"/>
    <w:basedOn w:val="Normal"/>
    <w:link w:val="a5"/>
    <w:pPr>
      <w:shd w:val="clear" w:color="auto" w:fill="FFFFFF"/>
    </w:pPr>
    <w:rPr>
      <w:rFonts w:ascii="Arial" w:eastAsia="Arial" w:hAnsi="Arial" w:cs="Arial"/>
      <w:sz w:val="19"/>
      <w:szCs w:val="19"/>
    </w:rPr>
  </w:style>
  <w:style w:type="paragraph" w:customStyle="1" w:styleId="40">
    <w:name w:val="Заглавие #4"/>
    <w:basedOn w:val="Normal"/>
    <w:link w:val="4"/>
    <w:pPr>
      <w:shd w:val="clear" w:color="auto" w:fill="FFFFFF"/>
      <w:spacing w:after="700"/>
      <w:jc w:val="center"/>
      <w:outlineLvl w:val="3"/>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601</Words>
  <Characters>3431</Characters>
  <Application>Microsoft Office Word</Application>
  <DocSecurity>0</DocSecurity>
  <Lines>28</Lines>
  <Paragraphs>8</Paragraphs>
  <ScaleCrop>false</ScaleCrop>
  <Company>MTITC</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dc:title>
  <dc:subject>None</dc:subject>
  <dc:creator>None</dc:creator>
  <cp:keywords>None</cp:keywords>
  <cp:lastModifiedBy>Biser Kirilov Petrov</cp:lastModifiedBy>
  <cp:revision>4</cp:revision>
  <dcterms:created xsi:type="dcterms:W3CDTF">2021-04-19T06:26:00Z</dcterms:created>
  <dcterms:modified xsi:type="dcterms:W3CDTF">2021-04-19T06:35:00Z</dcterms:modified>
</cp:coreProperties>
</file>