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AE" w:rsidRPr="00BF30AE" w:rsidRDefault="00BF30AE" w:rsidP="0017620E">
      <w:pPr>
        <w:jc w:val="center"/>
        <w:rPr>
          <w:rFonts w:ascii="Times New Roman" w:hAnsi="Times New Roman" w:cs="Times New Roman"/>
          <w:b/>
          <w:sz w:val="24"/>
          <w:szCs w:val="24"/>
        </w:rPr>
      </w:pPr>
      <w:bookmarkStart w:id="0" w:name="_GoBack"/>
      <w:bookmarkEnd w:id="0"/>
      <w:r w:rsidRPr="00BF30AE">
        <w:rPr>
          <w:rFonts w:ascii="Times New Roman" w:hAnsi="Times New Roman" w:cs="Times New Roman"/>
          <w:b/>
          <w:sz w:val="24"/>
          <w:szCs w:val="24"/>
        </w:rPr>
        <w:t>СПРАВКА</w:t>
      </w:r>
    </w:p>
    <w:p w:rsidR="00E34216" w:rsidRDefault="00BF30AE" w:rsidP="0017620E">
      <w:pPr>
        <w:jc w:val="center"/>
        <w:rPr>
          <w:rFonts w:ascii="Times New Roman" w:hAnsi="Times New Roman" w:cs="Times New Roman"/>
          <w:sz w:val="24"/>
          <w:szCs w:val="24"/>
        </w:rPr>
      </w:pPr>
      <w:r w:rsidRPr="00BF30AE">
        <w:rPr>
          <w:rFonts w:ascii="Times New Roman" w:hAnsi="Times New Roman" w:cs="Times New Roman"/>
          <w:sz w:val="24"/>
          <w:szCs w:val="24"/>
        </w:rPr>
        <w:t xml:space="preserve">за </w:t>
      </w:r>
      <w:r w:rsidR="00D23A52">
        <w:rPr>
          <w:rFonts w:ascii="Times New Roman" w:hAnsi="Times New Roman" w:cs="Times New Roman"/>
          <w:sz w:val="24"/>
          <w:szCs w:val="24"/>
        </w:rPr>
        <w:t>постъпилите</w:t>
      </w:r>
      <w:r w:rsidRPr="00BF30AE">
        <w:rPr>
          <w:rFonts w:ascii="Times New Roman" w:hAnsi="Times New Roman" w:cs="Times New Roman"/>
          <w:sz w:val="24"/>
          <w:szCs w:val="24"/>
        </w:rPr>
        <w:t xml:space="preserve"> предложенията </w:t>
      </w:r>
      <w:r w:rsidR="006600A3">
        <w:rPr>
          <w:rFonts w:ascii="Times New Roman" w:hAnsi="Times New Roman" w:cs="Times New Roman"/>
          <w:sz w:val="24"/>
          <w:szCs w:val="24"/>
        </w:rPr>
        <w:t>при</w:t>
      </w:r>
      <w:r w:rsidR="0017620E">
        <w:rPr>
          <w:rFonts w:ascii="Times New Roman" w:hAnsi="Times New Roman" w:cs="Times New Roman"/>
          <w:sz w:val="24"/>
          <w:szCs w:val="24"/>
        </w:rPr>
        <w:t xml:space="preserve"> общественото обсъждане</w:t>
      </w:r>
      <w:r w:rsidR="006600A3">
        <w:rPr>
          <w:rFonts w:ascii="Times New Roman" w:hAnsi="Times New Roman" w:cs="Times New Roman"/>
          <w:sz w:val="24"/>
          <w:szCs w:val="24"/>
        </w:rPr>
        <w:t xml:space="preserve"> </w:t>
      </w:r>
    </w:p>
    <w:p w:rsidR="00AD40DB" w:rsidRPr="00E34216" w:rsidRDefault="0017620E" w:rsidP="0017620E">
      <w:pPr>
        <w:jc w:val="center"/>
        <w:rPr>
          <w:rFonts w:ascii="Times New Roman" w:hAnsi="Times New Roman" w:cs="Times New Roman"/>
          <w:sz w:val="24"/>
          <w:szCs w:val="24"/>
        </w:rPr>
      </w:pPr>
      <w:r>
        <w:rPr>
          <w:rFonts w:ascii="Times New Roman" w:hAnsi="Times New Roman" w:cs="Times New Roman"/>
          <w:sz w:val="24"/>
          <w:szCs w:val="24"/>
        </w:rPr>
        <w:t>на Закона за изменение и допълнение на Закона за железопътния транспорт</w:t>
      </w:r>
      <w:r w:rsidR="00D23A52">
        <w:rPr>
          <w:rFonts w:ascii="Times New Roman" w:hAnsi="Times New Roman" w:cs="Times New Roman"/>
          <w:sz w:val="24"/>
          <w:szCs w:val="24"/>
        </w:rPr>
        <w:t xml:space="preserve"> </w:t>
      </w:r>
      <w:r w:rsidR="00E34216" w:rsidRPr="00E34216">
        <w:rPr>
          <w:rFonts w:ascii="Times New Roman" w:hAnsi="Times New Roman" w:cs="Times New Roman"/>
          <w:sz w:val="24"/>
          <w:szCs w:val="24"/>
        </w:rPr>
        <w:t xml:space="preserve">в периода </w:t>
      </w:r>
      <w:r w:rsidR="00680EAB" w:rsidRPr="00743543">
        <w:rPr>
          <w:rFonts w:ascii="Times New Roman" w:hAnsi="Times New Roman" w:cs="Times New Roman"/>
          <w:sz w:val="24"/>
          <w:szCs w:val="24"/>
          <w:lang w:val="ru-RU"/>
        </w:rPr>
        <w:t>19</w:t>
      </w:r>
      <w:r w:rsidR="00E34216" w:rsidRPr="00E34216">
        <w:rPr>
          <w:rFonts w:ascii="Times New Roman" w:hAnsi="Times New Roman" w:cs="Times New Roman"/>
          <w:sz w:val="24"/>
          <w:szCs w:val="24"/>
        </w:rPr>
        <w:t>.</w:t>
      </w:r>
      <w:r w:rsidR="00680EAB" w:rsidRPr="00743543">
        <w:rPr>
          <w:rFonts w:ascii="Times New Roman" w:hAnsi="Times New Roman" w:cs="Times New Roman"/>
          <w:sz w:val="24"/>
          <w:szCs w:val="24"/>
          <w:lang w:val="ru-RU"/>
        </w:rPr>
        <w:t>10</w:t>
      </w:r>
      <w:r w:rsidR="00E34216" w:rsidRPr="00E34216">
        <w:rPr>
          <w:rFonts w:ascii="Times New Roman" w:hAnsi="Times New Roman" w:cs="Times New Roman"/>
          <w:sz w:val="24"/>
          <w:szCs w:val="24"/>
        </w:rPr>
        <w:t>.201</w:t>
      </w:r>
      <w:r w:rsidR="00680EAB" w:rsidRPr="00743543">
        <w:rPr>
          <w:rFonts w:ascii="Times New Roman" w:hAnsi="Times New Roman" w:cs="Times New Roman"/>
          <w:sz w:val="24"/>
          <w:szCs w:val="24"/>
          <w:lang w:val="ru-RU"/>
        </w:rPr>
        <w:t>8</w:t>
      </w:r>
      <w:r w:rsidR="00E34216" w:rsidRPr="00E34216">
        <w:rPr>
          <w:rFonts w:ascii="Times New Roman" w:hAnsi="Times New Roman" w:cs="Times New Roman"/>
          <w:sz w:val="24"/>
          <w:szCs w:val="24"/>
        </w:rPr>
        <w:t xml:space="preserve"> г. – </w:t>
      </w:r>
      <w:r w:rsidR="00680EAB" w:rsidRPr="00743543">
        <w:rPr>
          <w:rFonts w:ascii="Times New Roman" w:hAnsi="Times New Roman" w:cs="Times New Roman"/>
          <w:sz w:val="24"/>
          <w:szCs w:val="24"/>
          <w:lang w:val="ru-RU"/>
        </w:rPr>
        <w:t>02</w:t>
      </w:r>
      <w:r w:rsidR="00E34216" w:rsidRPr="00E34216">
        <w:rPr>
          <w:rFonts w:ascii="Times New Roman" w:hAnsi="Times New Roman" w:cs="Times New Roman"/>
          <w:sz w:val="24"/>
          <w:szCs w:val="24"/>
        </w:rPr>
        <w:t>.1</w:t>
      </w:r>
      <w:r w:rsidR="00680EAB" w:rsidRPr="00743543">
        <w:rPr>
          <w:rFonts w:ascii="Times New Roman" w:hAnsi="Times New Roman" w:cs="Times New Roman"/>
          <w:sz w:val="24"/>
          <w:szCs w:val="24"/>
          <w:lang w:val="ru-RU"/>
        </w:rPr>
        <w:t>1</w:t>
      </w:r>
      <w:r w:rsidR="00E34216" w:rsidRPr="00E34216">
        <w:rPr>
          <w:rFonts w:ascii="Times New Roman" w:hAnsi="Times New Roman" w:cs="Times New Roman"/>
          <w:sz w:val="24"/>
          <w:szCs w:val="24"/>
        </w:rPr>
        <w:t>.201</w:t>
      </w:r>
      <w:r w:rsidR="00680EAB" w:rsidRPr="00743543">
        <w:rPr>
          <w:rFonts w:ascii="Times New Roman" w:hAnsi="Times New Roman" w:cs="Times New Roman"/>
          <w:sz w:val="24"/>
          <w:szCs w:val="24"/>
          <w:lang w:val="ru-RU"/>
        </w:rPr>
        <w:t xml:space="preserve">8 </w:t>
      </w:r>
      <w:r w:rsidR="00E34216" w:rsidRPr="00E34216">
        <w:rPr>
          <w:rFonts w:ascii="Times New Roman" w:hAnsi="Times New Roman" w:cs="Times New Roman"/>
          <w:sz w:val="24"/>
          <w:szCs w:val="24"/>
        </w:rPr>
        <w:t>г.</w:t>
      </w:r>
    </w:p>
    <w:p w:rsidR="00BF30AE" w:rsidRPr="00E34216" w:rsidRDefault="00BF30AE">
      <w:pPr>
        <w:rPr>
          <w:rFonts w:ascii="Times New Roman" w:hAnsi="Times New Roman" w:cs="Times New Roman"/>
          <w:sz w:val="24"/>
          <w:szCs w:val="24"/>
        </w:rPr>
      </w:pPr>
    </w:p>
    <w:tbl>
      <w:tblPr>
        <w:tblStyle w:val="TableGrid"/>
        <w:tblW w:w="15134" w:type="dxa"/>
        <w:tblInd w:w="-318" w:type="dxa"/>
        <w:tblLayout w:type="fixed"/>
        <w:tblLook w:val="04A0" w:firstRow="1" w:lastRow="0" w:firstColumn="1" w:lastColumn="0" w:noHBand="0" w:noVBand="1"/>
      </w:tblPr>
      <w:tblGrid>
        <w:gridCol w:w="2127"/>
        <w:gridCol w:w="7230"/>
        <w:gridCol w:w="1695"/>
        <w:gridCol w:w="4082"/>
      </w:tblGrid>
      <w:tr w:rsidR="0017620E" w:rsidRPr="000C4D15" w:rsidTr="00B112E6">
        <w:tc>
          <w:tcPr>
            <w:tcW w:w="2127"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 xml:space="preserve">Изготвил </w:t>
            </w:r>
            <w:r w:rsidR="00BC1192">
              <w:rPr>
                <w:rFonts w:ascii="Times New Roman" w:hAnsi="Times New Roman" w:cs="Times New Roman"/>
                <w:b/>
              </w:rPr>
              <w:t>предложението</w:t>
            </w:r>
          </w:p>
          <w:p w:rsidR="0017620E" w:rsidRPr="00BC1192" w:rsidRDefault="0017620E" w:rsidP="00AB1220">
            <w:pPr>
              <w:jc w:val="center"/>
              <w:rPr>
                <w:rFonts w:ascii="Times New Roman" w:hAnsi="Times New Roman" w:cs="Times New Roman"/>
                <w:b/>
              </w:rPr>
            </w:pPr>
          </w:p>
        </w:tc>
        <w:tc>
          <w:tcPr>
            <w:tcW w:w="7230"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Предложение</w:t>
            </w:r>
          </w:p>
          <w:p w:rsidR="0017620E" w:rsidRPr="00BC1192" w:rsidRDefault="0017620E" w:rsidP="00AB1220">
            <w:pPr>
              <w:jc w:val="center"/>
              <w:rPr>
                <w:rFonts w:ascii="Times New Roman" w:hAnsi="Times New Roman" w:cs="Times New Roman"/>
                <w:b/>
              </w:rPr>
            </w:pPr>
          </w:p>
        </w:tc>
        <w:tc>
          <w:tcPr>
            <w:tcW w:w="1695"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Приема/ не приема предложението</w:t>
            </w:r>
          </w:p>
          <w:p w:rsidR="0017620E" w:rsidRPr="00BC1192" w:rsidRDefault="0017620E" w:rsidP="00AB1220">
            <w:pPr>
              <w:jc w:val="center"/>
              <w:rPr>
                <w:rFonts w:ascii="Times New Roman" w:hAnsi="Times New Roman" w:cs="Times New Roman"/>
                <w:b/>
              </w:rPr>
            </w:pPr>
          </w:p>
        </w:tc>
        <w:tc>
          <w:tcPr>
            <w:tcW w:w="4082" w:type="dxa"/>
          </w:tcPr>
          <w:p w:rsidR="0017620E" w:rsidRPr="00BC1192" w:rsidRDefault="0017620E" w:rsidP="000D58CE">
            <w:pPr>
              <w:jc w:val="center"/>
              <w:rPr>
                <w:rFonts w:ascii="Times New Roman" w:hAnsi="Times New Roman" w:cs="Times New Roman"/>
                <w:b/>
              </w:rPr>
            </w:pPr>
            <w:r w:rsidRPr="00BC1192">
              <w:rPr>
                <w:rFonts w:ascii="Times New Roman" w:hAnsi="Times New Roman" w:cs="Times New Roman"/>
                <w:b/>
              </w:rPr>
              <w:t xml:space="preserve">Мотиви </w:t>
            </w:r>
          </w:p>
        </w:tc>
      </w:tr>
      <w:tr w:rsidR="00E92E12" w:rsidRPr="000C4D15" w:rsidTr="00B112E6">
        <w:tc>
          <w:tcPr>
            <w:tcW w:w="2127" w:type="dxa"/>
          </w:tcPr>
          <w:p w:rsidR="00F31C82" w:rsidRDefault="00F31C82" w:rsidP="00222E65">
            <w:pPr>
              <w:rPr>
                <w:rFonts w:ascii="Times New Roman" w:hAnsi="Times New Roman" w:cs="Times New Roman"/>
                <w:sz w:val="24"/>
                <w:szCs w:val="24"/>
              </w:rPr>
            </w:pPr>
            <w:r w:rsidRPr="00222E65">
              <w:rPr>
                <w:rFonts w:ascii="Times New Roman" w:hAnsi="Times New Roman" w:cs="Times New Roman"/>
                <w:sz w:val="24"/>
                <w:szCs w:val="24"/>
              </w:rPr>
              <w:t xml:space="preserve">Дата: </w:t>
            </w:r>
            <w:r>
              <w:rPr>
                <w:rFonts w:ascii="Times New Roman" w:hAnsi="Times New Roman" w:cs="Times New Roman"/>
                <w:sz w:val="24"/>
                <w:szCs w:val="24"/>
                <w:lang w:val="en-US"/>
              </w:rPr>
              <w:t xml:space="preserve"> </w:t>
            </w:r>
            <w:r w:rsidRPr="00222E65">
              <w:rPr>
                <w:rFonts w:ascii="Times New Roman" w:hAnsi="Times New Roman" w:cs="Times New Roman"/>
                <w:sz w:val="24"/>
                <w:szCs w:val="24"/>
              </w:rPr>
              <w:t>26</w:t>
            </w:r>
            <w:r>
              <w:rPr>
                <w:rFonts w:ascii="Times New Roman" w:hAnsi="Times New Roman" w:cs="Times New Roman"/>
                <w:sz w:val="24"/>
                <w:szCs w:val="24"/>
                <w:lang w:val="en-US"/>
              </w:rPr>
              <w:t>.10.</w:t>
            </w:r>
            <w:r>
              <w:rPr>
                <w:rFonts w:ascii="Times New Roman" w:hAnsi="Times New Roman" w:cs="Times New Roman"/>
                <w:sz w:val="24"/>
                <w:szCs w:val="24"/>
              </w:rPr>
              <w:t>2018 г.</w:t>
            </w:r>
          </w:p>
          <w:p w:rsidR="00222E65" w:rsidRPr="00222E65" w:rsidRDefault="00222E65" w:rsidP="00222E65">
            <w:pPr>
              <w:rPr>
                <w:rFonts w:ascii="Times New Roman" w:hAnsi="Times New Roman" w:cs="Times New Roman"/>
                <w:sz w:val="24"/>
                <w:szCs w:val="24"/>
              </w:rPr>
            </w:pPr>
            <w:r w:rsidRPr="00222E65">
              <w:rPr>
                <w:rFonts w:ascii="Times New Roman" w:hAnsi="Times New Roman" w:cs="Times New Roman"/>
                <w:sz w:val="24"/>
                <w:szCs w:val="24"/>
              </w:rPr>
              <w:t>Автор: Aziti</w:t>
            </w:r>
          </w:p>
          <w:p w:rsidR="001F263D" w:rsidRPr="00222E65" w:rsidRDefault="001F263D" w:rsidP="00222E65">
            <w:pPr>
              <w:rPr>
                <w:rFonts w:ascii="Times New Roman" w:hAnsi="Times New Roman" w:cs="Times New Roman"/>
                <w:sz w:val="24"/>
                <w:szCs w:val="24"/>
                <w:lang w:val="en-US"/>
              </w:rPr>
            </w:pPr>
          </w:p>
        </w:tc>
        <w:tc>
          <w:tcPr>
            <w:tcW w:w="7230" w:type="dxa"/>
          </w:tcPr>
          <w:p w:rsidR="00A753D9" w:rsidRPr="00A753D9" w:rsidRDefault="00A753D9" w:rsidP="00A753D9">
            <w:pPr>
              <w:rPr>
                <w:rFonts w:ascii="Times New Roman" w:hAnsi="Times New Roman" w:cs="Times New Roman"/>
                <w:b/>
                <w:bCs/>
                <w:sz w:val="24"/>
                <w:szCs w:val="24"/>
              </w:rPr>
            </w:pPr>
            <w:r w:rsidRPr="00A753D9">
              <w:rPr>
                <w:rFonts w:ascii="Times New Roman" w:hAnsi="Times New Roman" w:cs="Times New Roman"/>
                <w:b/>
                <w:bCs/>
                <w:sz w:val="24"/>
                <w:szCs w:val="24"/>
              </w:rPr>
              <w:t>Целева група - учащи и работещи</w:t>
            </w:r>
          </w:p>
          <w:p w:rsidR="00A753D9" w:rsidRPr="00A753D9" w:rsidRDefault="00A753D9" w:rsidP="00A753D9">
            <w:pPr>
              <w:rPr>
                <w:rFonts w:ascii="Times New Roman" w:hAnsi="Times New Roman" w:cs="Times New Roman"/>
                <w:sz w:val="24"/>
                <w:szCs w:val="24"/>
              </w:rPr>
            </w:pPr>
            <w:r w:rsidRPr="00A753D9">
              <w:rPr>
                <w:rFonts w:ascii="Times New Roman" w:hAnsi="Times New Roman" w:cs="Times New Roman"/>
                <w:sz w:val="24"/>
                <w:szCs w:val="24"/>
              </w:rPr>
              <w:t>Кой и как определя кога ще се движат пътническите влакове?</w:t>
            </w:r>
          </w:p>
          <w:p w:rsidR="00A753D9" w:rsidRPr="00A753D9" w:rsidRDefault="00A753D9" w:rsidP="00A753D9">
            <w:pPr>
              <w:rPr>
                <w:rFonts w:ascii="Times New Roman" w:hAnsi="Times New Roman" w:cs="Times New Roman"/>
                <w:sz w:val="24"/>
                <w:szCs w:val="24"/>
              </w:rPr>
            </w:pPr>
            <w:r w:rsidRPr="00A753D9">
              <w:rPr>
                <w:rFonts w:ascii="Times New Roman" w:hAnsi="Times New Roman" w:cs="Times New Roman"/>
                <w:sz w:val="24"/>
                <w:szCs w:val="24"/>
              </w:rPr>
              <w:t>Съобразено ли е разписанието с нуждите / работното време на работещите и учащите?</w:t>
            </w:r>
          </w:p>
          <w:p w:rsidR="00A753D9" w:rsidRPr="00A753D9" w:rsidRDefault="00A753D9" w:rsidP="00A753D9">
            <w:pPr>
              <w:rPr>
                <w:rFonts w:ascii="Times New Roman" w:hAnsi="Times New Roman" w:cs="Times New Roman"/>
                <w:sz w:val="24"/>
                <w:szCs w:val="24"/>
              </w:rPr>
            </w:pPr>
            <w:r w:rsidRPr="00A753D9">
              <w:rPr>
                <w:rFonts w:ascii="Times New Roman" w:hAnsi="Times New Roman" w:cs="Times New Roman"/>
                <w:sz w:val="24"/>
                <w:szCs w:val="24"/>
              </w:rPr>
              <w:t>Месечните детските надбавки за едно дете са 30 лева на месец? Защо месечната картата за транспорт на ученик може да е по-скъпа дори от надбавките?</w:t>
            </w:r>
          </w:p>
          <w:p w:rsidR="00A753D9" w:rsidRPr="00A753D9" w:rsidRDefault="00A753D9" w:rsidP="00A753D9">
            <w:pPr>
              <w:rPr>
                <w:rFonts w:ascii="Times New Roman" w:hAnsi="Times New Roman" w:cs="Times New Roman"/>
                <w:sz w:val="24"/>
                <w:szCs w:val="24"/>
              </w:rPr>
            </w:pPr>
            <w:r w:rsidRPr="00A753D9">
              <w:rPr>
                <w:rFonts w:ascii="Times New Roman" w:hAnsi="Times New Roman" w:cs="Times New Roman"/>
                <w:sz w:val="24"/>
                <w:szCs w:val="24"/>
              </w:rPr>
              <w:t> </w:t>
            </w:r>
          </w:p>
          <w:p w:rsidR="001F263D" w:rsidRPr="000A5A08" w:rsidRDefault="00A753D9" w:rsidP="00CB4B3C">
            <w:pPr>
              <w:rPr>
                <w:rFonts w:ascii="Times New Roman" w:hAnsi="Times New Roman" w:cs="Times New Roman"/>
                <w:sz w:val="24"/>
                <w:szCs w:val="24"/>
              </w:rPr>
            </w:pPr>
            <w:r w:rsidRPr="00A753D9">
              <w:rPr>
                <w:rFonts w:ascii="Times New Roman" w:hAnsi="Times New Roman" w:cs="Times New Roman"/>
                <w:sz w:val="24"/>
                <w:szCs w:val="24"/>
              </w:rPr>
              <w:t>Каква е стратегията на БДЖ, ако времето за транспорт се счита за част от работното време?</w:t>
            </w:r>
          </w:p>
        </w:tc>
        <w:tc>
          <w:tcPr>
            <w:tcW w:w="1695" w:type="dxa"/>
          </w:tcPr>
          <w:p w:rsidR="001F263D" w:rsidRPr="000C4D15" w:rsidRDefault="00FD7256" w:rsidP="00FD7256">
            <w:pPr>
              <w:rPr>
                <w:rFonts w:ascii="Times New Roman" w:hAnsi="Times New Roman" w:cs="Times New Roman"/>
                <w:sz w:val="24"/>
                <w:szCs w:val="24"/>
              </w:rPr>
            </w:pPr>
            <w:r>
              <w:rPr>
                <w:rFonts w:ascii="Times New Roman" w:hAnsi="Times New Roman" w:cs="Times New Roman"/>
                <w:sz w:val="24"/>
                <w:szCs w:val="24"/>
              </w:rPr>
              <w:t>Н</w:t>
            </w:r>
            <w:r w:rsidR="00D50163">
              <w:rPr>
                <w:rFonts w:ascii="Times New Roman" w:hAnsi="Times New Roman" w:cs="Times New Roman"/>
                <w:sz w:val="24"/>
                <w:szCs w:val="24"/>
              </w:rPr>
              <w:t>е се прием</w:t>
            </w:r>
            <w:r>
              <w:rPr>
                <w:rFonts w:ascii="Times New Roman" w:hAnsi="Times New Roman" w:cs="Times New Roman"/>
                <w:sz w:val="24"/>
                <w:szCs w:val="24"/>
              </w:rPr>
              <w:t>а</w:t>
            </w:r>
            <w:r w:rsidR="00D50163">
              <w:rPr>
                <w:rFonts w:ascii="Times New Roman" w:hAnsi="Times New Roman" w:cs="Times New Roman"/>
                <w:sz w:val="24"/>
                <w:szCs w:val="24"/>
              </w:rPr>
              <w:t xml:space="preserve"> </w:t>
            </w:r>
          </w:p>
        </w:tc>
        <w:tc>
          <w:tcPr>
            <w:tcW w:w="4082" w:type="dxa"/>
          </w:tcPr>
          <w:p w:rsidR="0077365D" w:rsidRPr="0077365D" w:rsidRDefault="00CB4B3C" w:rsidP="0077365D">
            <w:pPr>
              <w:rPr>
                <w:rFonts w:ascii="Times New Roman" w:hAnsi="Times New Roman" w:cs="Times New Roman"/>
                <w:sz w:val="24"/>
                <w:szCs w:val="24"/>
              </w:rPr>
            </w:pPr>
            <w:r>
              <w:rPr>
                <w:rFonts w:ascii="Times New Roman" w:hAnsi="Times New Roman" w:cs="Times New Roman"/>
                <w:sz w:val="24"/>
                <w:szCs w:val="24"/>
              </w:rPr>
              <w:t>Коментарите</w:t>
            </w:r>
            <w:r w:rsidR="0077365D">
              <w:rPr>
                <w:rFonts w:ascii="Times New Roman" w:hAnsi="Times New Roman" w:cs="Times New Roman"/>
                <w:sz w:val="24"/>
                <w:szCs w:val="24"/>
              </w:rPr>
              <w:t xml:space="preserve">, поставени </w:t>
            </w:r>
            <w:r>
              <w:rPr>
                <w:rFonts w:ascii="Times New Roman" w:hAnsi="Times New Roman" w:cs="Times New Roman"/>
                <w:sz w:val="24"/>
                <w:szCs w:val="24"/>
              </w:rPr>
              <w:t xml:space="preserve">в </w:t>
            </w:r>
            <w:r w:rsidR="0077365D">
              <w:rPr>
                <w:rFonts w:ascii="Times New Roman" w:hAnsi="Times New Roman" w:cs="Times New Roman"/>
                <w:sz w:val="24"/>
                <w:szCs w:val="24"/>
              </w:rPr>
              <w:t xml:space="preserve">Портала за обществени консултации на Министерски съвет с автор </w:t>
            </w:r>
            <w:r w:rsidR="0077365D" w:rsidRPr="0077365D">
              <w:rPr>
                <w:rFonts w:ascii="Times New Roman" w:hAnsi="Times New Roman" w:cs="Times New Roman"/>
                <w:sz w:val="24"/>
                <w:szCs w:val="24"/>
              </w:rPr>
              <w:t>Aziti</w:t>
            </w:r>
            <w:r w:rsidR="0077365D">
              <w:rPr>
                <w:rFonts w:ascii="Times New Roman" w:hAnsi="Times New Roman" w:cs="Times New Roman"/>
                <w:sz w:val="24"/>
                <w:szCs w:val="24"/>
              </w:rPr>
              <w:t xml:space="preserve"> не са свързани с </w:t>
            </w:r>
            <w:r w:rsidR="0017075E">
              <w:rPr>
                <w:rFonts w:ascii="Times New Roman" w:hAnsi="Times New Roman" w:cs="Times New Roman"/>
                <w:sz w:val="24"/>
                <w:szCs w:val="24"/>
              </w:rPr>
              <w:t>текстовете на публикувания Закон за изменение и допълнение на Закон за железопътния транспорт.</w:t>
            </w:r>
          </w:p>
          <w:p w:rsidR="00D50163" w:rsidRPr="00CB4B3C" w:rsidRDefault="00D50163" w:rsidP="0077365D">
            <w:pPr>
              <w:rPr>
                <w:rFonts w:ascii="Times New Roman" w:hAnsi="Times New Roman" w:cs="Times New Roman"/>
                <w:sz w:val="24"/>
                <w:szCs w:val="24"/>
              </w:rPr>
            </w:pPr>
          </w:p>
        </w:tc>
      </w:tr>
      <w:tr w:rsidR="00F97DAA" w:rsidRPr="000C4D15" w:rsidTr="00B112E6">
        <w:tc>
          <w:tcPr>
            <w:tcW w:w="2127" w:type="dxa"/>
            <w:vMerge w:val="restart"/>
          </w:tcPr>
          <w:p w:rsidR="00F31C82" w:rsidRDefault="00F31C82" w:rsidP="00222E65">
            <w:pPr>
              <w:rPr>
                <w:rFonts w:ascii="Times New Roman" w:hAnsi="Times New Roman" w:cs="Times New Roman"/>
                <w:sz w:val="24"/>
                <w:szCs w:val="24"/>
              </w:rPr>
            </w:pPr>
            <w:r>
              <w:rPr>
                <w:rFonts w:ascii="Times New Roman" w:hAnsi="Times New Roman" w:cs="Times New Roman"/>
                <w:sz w:val="24"/>
                <w:szCs w:val="24"/>
              </w:rPr>
              <w:t>Писмо с № ЖИ-39652/02.11.2018</w:t>
            </w:r>
          </w:p>
          <w:p w:rsidR="00F97DAA" w:rsidRDefault="00F97DAA" w:rsidP="00222E65">
            <w:pPr>
              <w:rPr>
                <w:rFonts w:ascii="Times New Roman" w:hAnsi="Times New Roman" w:cs="Times New Roman"/>
                <w:sz w:val="24"/>
                <w:szCs w:val="24"/>
              </w:rPr>
            </w:pPr>
            <w:r>
              <w:rPr>
                <w:rFonts w:ascii="Times New Roman" w:hAnsi="Times New Roman" w:cs="Times New Roman"/>
                <w:sz w:val="24"/>
                <w:szCs w:val="24"/>
              </w:rPr>
              <w:t>ДП НКЖИ</w:t>
            </w:r>
          </w:p>
          <w:p w:rsidR="00F97DAA" w:rsidRPr="00222E65" w:rsidRDefault="00F97DAA" w:rsidP="00222E65">
            <w:pPr>
              <w:rPr>
                <w:rFonts w:ascii="Times New Roman" w:hAnsi="Times New Roman" w:cs="Times New Roman"/>
                <w:sz w:val="24"/>
                <w:szCs w:val="24"/>
              </w:rPr>
            </w:pPr>
          </w:p>
        </w:tc>
        <w:tc>
          <w:tcPr>
            <w:tcW w:w="7230" w:type="dxa"/>
          </w:tcPr>
          <w:p w:rsidR="00F97DAA" w:rsidRPr="000E1663" w:rsidRDefault="00F97DAA" w:rsidP="000E1663">
            <w:pPr>
              <w:rPr>
                <w:rFonts w:ascii="Times New Roman" w:hAnsi="Times New Roman" w:cs="Times New Roman"/>
                <w:bCs/>
                <w:sz w:val="24"/>
                <w:szCs w:val="24"/>
              </w:rPr>
            </w:pPr>
            <w:r w:rsidRPr="000E1663">
              <w:rPr>
                <w:rFonts w:ascii="Times New Roman" w:hAnsi="Times New Roman" w:cs="Times New Roman"/>
                <w:bCs/>
                <w:sz w:val="24"/>
                <w:szCs w:val="24"/>
              </w:rPr>
              <w:t>Във връзка с публикувания за обществено обсъждане проект на закон за изменение и допълнение на закона за железопътния транспорт (ЗИД на ЗЖТ) предлагаме в конкретни текстове да се нанесат следните редакции:</w:t>
            </w:r>
          </w:p>
          <w:p w:rsidR="00F97DAA" w:rsidRPr="000E1663" w:rsidRDefault="00F310B4" w:rsidP="00F310B4">
            <w:pPr>
              <w:tabs>
                <w:tab w:val="left" w:pos="290"/>
              </w:tabs>
              <w:rPr>
                <w:rFonts w:ascii="Times New Roman" w:hAnsi="Times New Roman" w:cs="Times New Roman"/>
                <w:bCs/>
                <w:sz w:val="24"/>
                <w:szCs w:val="24"/>
              </w:rPr>
            </w:pPr>
            <w:r>
              <w:rPr>
                <w:rFonts w:ascii="Times New Roman" w:hAnsi="Times New Roman" w:cs="Times New Roman"/>
                <w:bCs/>
                <w:sz w:val="24"/>
                <w:szCs w:val="24"/>
              </w:rPr>
              <w:t xml:space="preserve">1. </w:t>
            </w:r>
            <w:r w:rsidR="00F97DAA" w:rsidRPr="000E1663">
              <w:rPr>
                <w:rFonts w:ascii="Times New Roman" w:hAnsi="Times New Roman" w:cs="Times New Roman"/>
                <w:bCs/>
                <w:sz w:val="24"/>
                <w:szCs w:val="24"/>
              </w:rPr>
              <w:t xml:space="preserve">Съгласно § 1 на ЗИД на ЗЖТ текстът на чл.7, ал. 1, т.5 гласи следното: „Чл.7. (1) Изпълнителна агенция „Железопътна администрация": т.  5.  издава разрешения за въвеждане в експлоатация на подсистемите за контрол, управление и сигнализация по железопътните линии, на енергийните и инфраструктурните подсистеми, изграждащи националната железопътна система, при условия и по ред, определени с наредбата </w:t>
            </w:r>
            <w:r w:rsidR="00F97DAA">
              <w:rPr>
                <w:rFonts w:ascii="Times New Roman" w:hAnsi="Times New Roman" w:cs="Times New Roman"/>
                <w:bCs/>
                <w:sz w:val="24"/>
                <w:szCs w:val="24"/>
              </w:rPr>
              <w:t>по чл. 5, т. 2;“</w:t>
            </w:r>
          </w:p>
          <w:p w:rsidR="00F97DAA" w:rsidRPr="000E1663" w:rsidRDefault="00F97DAA" w:rsidP="008D5D6C">
            <w:pPr>
              <w:rPr>
                <w:rFonts w:ascii="Times New Roman" w:hAnsi="Times New Roman" w:cs="Times New Roman"/>
                <w:bCs/>
                <w:sz w:val="24"/>
                <w:szCs w:val="24"/>
              </w:rPr>
            </w:pPr>
            <w:r w:rsidRPr="000E1663">
              <w:rPr>
                <w:rFonts w:ascii="Times New Roman" w:hAnsi="Times New Roman" w:cs="Times New Roman"/>
                <w:bCs/>
                <w:sz w:val="24"/>
                <w:szCs w:val="24"/>
              </w:rPr>
              <w:t>Предлагаме текстът на чл.7, ал.1, т.5 да придобие следния вид: „Чл.7. (1) Изпълнителна агенция „Железопътна администрация": т. 5. издава разрешения за въвеждане в експлоатация на следните подсистеми, изграждащи   националната   железопътна   система:   подсистема   „Инфраструктура</w:t>
            </w:r>
            <w:r>
              <w:rPr>
                <w:rFonts w:ascii="Times New Roman" w:hAnsi="Times New Roman" w:cs="Times New Roman"/>
                <w:bCs/>
                <w:sz w:val="24"/>
                <w:szCs w:val="24"/>
              </w:rPr>
              <w:t>“</w:t>
            </w:r>
            <w:r w:rsidRPr="000E1663">
              <w:rPr>
                <w:rFonts w:ascii="Times New Roman" w:hAnsi="Times New Roman" w:cs="Times New Roman"/>
                <w:bCs/>
                <w:sz w:val="24"/>
                <w:szCs w:val="24"/>
              </w:rPr>
              <w:t>, подсистема „Енергия</w:t>
            </w:r>
            <w:r>
              <w:rPr>
                <w:rFonts w:ascii="Times New Roman" w:hAnsi="Times New Roman" w:cs="Times New Roman"/>
                <w:bCs/>
                <w:sz w:val="24"/>
                <w:szCs w:val="24"/>
              </w:rPr>
              <w:t>“</w:t>
            </w:r>
            <w:r w:rsidRPr="000E1663">
              <w:rPr>
                <w:rFonts w:ascii="Times New Roman" w:hAnsi="Times New Roman" w:cs="Times New Roman"/>
                <w:bCs/>
                <w:sz w:val="24"/>
                <w:szCs w:val="24"/>
              </w:rPr>
              <w:t xml:space="preserve">  и  подсистема „Контрол, управление  и  сигнализация</w:t>
            </w:r>
            <w:r>
              <w:rPr>
                <w:rFonts w:ascii="Times New Roman" w:hAnsi="Times New Roman" w:cs="Times New Roman"/>
                <w:bCs/>
                <w:sz w:val="24"/>
                <w:szCs w:val="24"/>
              </w:rPr>
              <w:t>“</w:t>
            </w:r>
            <w:r w:rsidRPr="000E1663">
              <w:rPr>
                <w:rFonts w:ascii="Times New Roman" w:hAnsi="Times New Roman" w:cs="Times New Roman"/>
                <w:bCs/>
                <w:sz w:val="24"/>
                <w:szCs w:val="24"/>
              </w:rPr>
              <w:t>,  при условия и по ред, определени с наредбата по чл. 5, т. 2;"</w:t>
            </w:r>
          </w:p>
          <w:p w:rsidR="00F97DAA" w:rsidRPr="000E1663" w:rsidRDefault="00F97DAA" w:rsidP="008D5D6C">
            <w:pPr>
              <w:rPr>
                <w:rFonts w:ascii="Times New Roman" w:hAnsi="Times New Roman" w:cs="Times New Roman"/>
                <w:bCs/>
                <w:sz w:val="24"/>
                <w:szCs w:val="24"/>
              </w:rPr>
            </w:pPr>
            <w:r w:rsidRPr="000E1663">
              <w:rPr>
                <w:rFonts w:ascii="Times New Roman" w:hAnsi="Times New Roman" w:cs="Times New Roman"/>
                <w:bCs/>
                <w:sz w:val="24"/>
                <w:szCs w:val="24"/>
              </w:rPr>
              <w:t xml:space="preserve">Предложението ни е продиктувано от идеята за унифициране на </w:t>
            </w:r>
            <w:r w:rsidRPr="000E1663">
              <w:rPr>
                <w:rFonts w:ascii="Times New Roman" w:hAnsi="Times New Roman" w:cs="Times New Roman"/>
                <w:bCs/>
                <w:sz w:val="24"/>
                <w:szCs w:val="24"/>
              </w:rPr>
              <w:lastRenderedPageBreak/>
              <w:t>терминологията в ЗЖТ и европейските актове, които регламентират техническите спецификации за оперативна съвместимост по отношение на подсистемите на железопътната система, а именно:</w:t>
            </w:r>
          </w:p>
          <w:p w:rsidR="00F97DAA" w:rsidRPr="000E1663" w:rsidRDefault="00F97DAA" w:rsidP="00F310B4">
            <w:pPr>
              <w:tabs>
                <w:tab w:val="left" w:pos="303"/>
              </w:tabs>
              <w:rPr>
                <w:rFonts w:ascii="Times New Roman" w:hAnsi="Times New Roman" w:cs="Times New Roman"/>
                <w:bCs/>
                <w:sz w:val="24"/>
                <w:szCs w:val="24"/>
              </w:rPr>
            </w:pPr>
            <w:r w:rsidRPr="000E1663">
              <w:rPr>
                <w:rFonts w:ascii="Times New Roman" w:hAnsi="Times New Roman" w:cs="Times New Roman"/>
                <w:bCs/>
                <w:sz w:val="24"/>
                <w:szCs w:val="24"/>
              </w:rPr>
              <w:t>-</w:t>
            </w:r>
            <w:r w:rsidRPr="000E1663">
              <w:rPr>
                <w:rFonts w:ascii="Times New Roman" w:hAnsi="Times New Roman" w:cs="Times New Roman"/>
                <w:bCs/>
                <w:sz w:val="24"/>
                <w:szCs w:val="24"/>
              </w:rPr>
              <w:tab/>
              <w:t>Регламент (ЕС) № 1299/2014 на Комисията от 18 ноември 2014 година</w:t>
            </w:r>
            <w:r>
              <w:rPr>
                <w:rFonts w:ascii="Times New Roman" w:hAnsi="Times New Roman" w:cs="Times New Roman"/>
                <w:bCs/>
                <w:sz w:val="24"/>
                <w:szCs w:val="24"/>
              </w:rPr>
              <w:t xml:space="preserve"> </w:t>
            </w:r>
            <w:r w:rsidRPr="000E1663">
              <w:rPr>
                <w:rFonts w:ascii="Times New Roman" w:hAnsi="Times New Roman" w:cs="Times New Roman"/>
                <w:bCs/>
                <w:sz w:val="24"/>
                <w:szCs w:val="24"/>
              </w:rPr>
              <w:t>относно техническите спецификации за оперативна съвместимост по отношение на</w:t>
            </w:r>
            <w:r>
              <w:rPr>
                <w:rFonts w:ascii="Times New Roman" w:hAnsi="Times New Roman" w:cs="Times New Roman"/>
                <w:bCs/>
                <w:sz w:val="24"/>
                <w:szCs w:val="24"/>
              </w:rPr>
              <w:t xml:space="preserve"> </w:t>
            </w:r>
            <w:r w:rsidRPr="000E1663">
              <w:rPr>
                <w:rFonts w:ascii="Times New Roman" w:hAnsi="Times New Roman" w:cs="Times New Roman"/>
                <w:bCs/>
                <w:sz w:val="24"/>
                <w:szCs w:val="24"/>
              </w:rPr>
              <w:t>подсистемата „Инфраструктура" на железопътната система в Европейския съюз;</w:t>
            </w:r>
          </w:p>
          <w:p w:rsidR="00F97DAA" w:rsidRPr="000E1663" w:rsidRDefault="00F97DAA" w:rsidP="008D5D6C">
            <w:pPr>
              <w:rPr>
                <w:rFonts w:ascii="Times New Roman" w:hAnsi="Times New Roman" w:cs="Times New Roman"/>
                <w:bCs/>
                <w:sz w:val="24"/>
                <w:szCs w:val="24"/>
              </w:rPr>
            </w:pPr>
            <w:r>
              <w:rPr>
                <w:rFonts w:ascii="Times New Roman" w:hAnsi="Times New Roman" w:cs="Times New Roman"/>
                <w:bCs/>
                <w:sz w:val="24"/>
                <w:szCs w:val="24"/>
              </w:rPr>
              <w:t xml:space="preserve">- </w:t>
            </w:r>
            <w:r w:rsidRPr="000E1663">
              <w:rPr>
                <w:rFonts w:ascii="Times New Roman" w:hAnsi="Times New Roman" w:cs="Times New Roman"/>
                <w:bCs/>
                <w:sz w:val="24"/>
                <w:szCs w:val="24"/>
              </w:rPr>
              <w:t>Регламент (ЕС) № 1301/2014 на от 18 ноември 2014 година относно техническите спецификации за оперативна</w:t>
            </w:r>
            <w:r>
              <w:rPr>
                <w:rFonts w:ascii="Times New Roman" w:hAnsi="Times New Roman" w:cs="Times New Roman"/>
                <w:bCs/>
                <w:sz w:val="24"/>
                <w:szCs w:val="24"/>
              </w:rPr>
              <w:t xml:space="preserve"> с</w:t>
            </w:r>
            <w:r w:rsidRPr="000E1663">
              <w:rPr>
                <w:rFonts w:ascii="Times New Roman" w:hAnsi="Times New Roman" w:cs="Times New Roman"/>
                <w:bCs/>
                <w:sz w:val="24"/>
                <w:szCs w:val="24"/>
              </w:rPr>
              <w:t>ъвместимост по отношение на подсистемата  „Енергия" на        железопътната        система        в        ЕС;</w:t>
            </w:r>
          </w:p>
          <w:p w:rsidR="00F97DAA" w:rsidRPr="00A753D9" w:rsidRDefault="00F97DAA" w:rsidP="00F310B4">
            <w:pPr>
              <w:tabs>
                <w:tab w:val="left" w:pos="278"/>
              </w:tabs>
              <w:rPr>
                <w:rFonts w:ascii="Times New Roman" w:hAnsi="Times New Roman" w:cs="Times New Roman"/>
                <w:b/>
                <w:bCs/>
                <w:sz w:val="24"/>
                <w:szCs w:val="24"/>
              </w:rPr>
            </w:pPr>
            <w:r w:rsidRPr="000E1663">
              <w:rPr>
                <w:rFonts w:ascii="Times New Roman" w:hAnsi="Times New Roman" w:cs="Times New Roman"/>
                <w:bCs/>
                <w:sz w:val="24"/>
                <w:szCs w:val="24"/>
              </w:rPr>
              <w:t>-</w:t>
            </w:r>
            <w:r w:rsidRPr="000E1663">
              <w:rPr>
                <w:rFonts w:ascii="Times New Roman" w:hAnsi="Times New Roman" w:cs="Times New Roman"/>
                <w:bCs/>
                <w:sz w:val="24"/>
                <w:szCs w:val="24"/>
              </w:rPr>
              <w:tab/>
              <w:t>Регламент (ЕС) 2016/919 на Комисията от 27 май 2016 година относно</w:t>
            </w:r>
            <w:r>
              <w:rPr>
                <w:rFonts w:ascii="Times New Roman" w:hAnsi="Times New Roman" w:cs="Times New Roman"/>
                <w:bCs/>
                <w:sz w:val="24"/>
                <w:szCs w:val="24"/>
              </w:rPr>
              <w:t xml:space="preserve"> </w:t>
            </w:r>
            <w:r w:rsidRPr="000E1663">
              <w:rPr>
                <w:rFonts w:ascii="Times New Roman" w:hAnsi="Times New Roman" w:cs="Times New Roman"/>
                <w:bCs/>
                <w:sz w:val="24"/>
                <w:szCs w:val="24"/>
              </w:rPr>
              <w:t>техническата спецификация за оперативна съвместимост на подсистемите „Контрол,</w:t>
            </w:r>
            <w:r>
              <w:rPr>
                <w:rFonts w:ascii="Times New Roman" w:hAnsi="Times New Roman" w:cs="Times New Roman"/>
                <w:bCs/>
                <w:sz w:val="24"/>
                <w:szCs w:val="24"/>
              </w:rPr>
              <w:t xml:space="preserve"> </w:t>
            </w:r>
            <w:r w:rsidRPr="000E1663">
              <w:rPr>
                <w:rFonts w:ascii="Times New Roman" w:hAnsi="Times New Roman" w:cs="Times New Roman"/>
                <w:bCs/>
                <w:sz w:val="24"/>
                <w:szCs w:val="24"/>
              </w:rPr>
              <w:t>управление и</w:t>
            </w:r>
            <w:r>
              <w:rPr>
                <w:rFonts w:ascii="Times New Roman" w:hAnsi="Times New Roman" w:cs="Times New Roman"/>
                <w:bCs/>
                <w:sz w:val="24"/>
                <w:szCs w:val="24"/>
              </w:rPr>
              <w:t xml:space="preserve"> </w:t>
            </w:r>
            <w:r w:rsidRPr="000E1663">
              <w:rPr>
                <w:rFonts w:ascii="Times New Roman" w:hAnsi="Times New Roman" w:cs="Times New Roman"/>
                <w:bCs/>
                <w:sz w:val="24"/>
                <w:szCs w:val="24"/>
              </w:rPr>
              <w:t>сигнализация" на железопътната система в Европейския съюз.</w:t>
            </w:r>
          </w:p>
        </w:tc>
        <w:tc>
          <w:tcPr>
            <w:tcW w:w="1695" w:type="dxa"/>
          </w:tcPr>
          <w:p w:rsidR="00F97DAA" w:rsidRDefault="00F87895" w:rsidP="00F87895">
            <w:pPr>
              <w:rPr>
                <w:rFonts w:ascii="Times New Roman" w:hAnsi="Times New Roman" w:cs="Times New Roman"/>
                <w:sz w:val="24"/>
                <w:szCs w:val="24"/>
              </w:rPr>
            </w:pPr>
            <w:r>
              <w:rPr>
                <w:rFonts w:ascii="Times New Roman" w:hAnsi="Times New Roman" w:cs="Times New Roman"/>
                <w:sz w:val="24"/>
                <w:szCs w:val="24"/>
              </w:rPr>
              <w:lastRenderedPageBreak/>
              <w:t>Не</w:t>
            </w:r>
            <w:r w:rsidR="00F97DAA" w:rsidRPr="00A56E7B">
              <w:rPr>
                <w:rFonts w:ascii="Times New Roman" w:hAnsi="Times New Roman" w:cs="Times New Roman"/>
                <w:sz w:val="24"/>
                <w:szCs w:val="24"/>
              </w:rPr>
              <w:t xml:space="preserve"> се прием</w:t>
            </w:r>
            <w:r>
              <w:rPr>
                <w:rFonts w:ascii="Times New Roman" w:hAnsi="Times New Roman" w:cs="Times New Roman"/>
                <w:sz w:val="24"/>
                <w:szCs w:val="24"/>
              </w:rPr>
              <w:t>а</w:t>
            </w:r>
          </w:p>
        </w:tc>
        <w:tc>
          <w:tcPr>
            <w:tcW w:w="4082" w:type="dxa"/>
          </w:tcPr>
          <w:p w:rsidR="00F97DAA" w:rsidRDefault="00F97DAA" w:rsidP="00046952">
            <w:pPr>
              <w:rPr>
                <w:rFonts w:ascii="Times New Roman" w:hAnsi="Times New Roman" w:cs="Times New Roman"/>
                <w:sz w:val="24"/>
                <w:szCs w:val="24"/>
              </w:rPr>
            </w:pPr>
            <w:r w:rsidRPr="00046952">
              <w:rPr>
                <w:rFonts w:ascii="Times New Roman" w:hAnsi="Times New Roman" w:cs="Times New Roman"/>
                <w:iCs/>
                <w:sz w:val="24"/>
                <w:szCs w:val="24"/>
              </w:rPr>
              <w:t>Текста в ЗИД на ЗЖТ е произтекъл от изискването на</w:t>
            </w:r>
            <w:r>
              <w:rPr>
                <w:rFonts w:ascii="Times New Roman" w:hAnsi="Times New Roman" w:cs="Times New Roman"/>
                <w:i/>
                <w:iCs/>
                <w:sz w:val="24"/>
                <w:szCs w:val="24"/>
              </w:rPr>
              <w:t xml:space="preserve"> ч</w:t>
            </w:r>
            <w:r w:rsidRPr="00A56E7B">
              <w:rPr>
                <w:rFonts w:ascii="Times New Roman" w:hAnsi="Times New Roman" w:cs="Times New Roman"/>
                <w:i/>
                <w:iCs/>
                <w:sz w:val="24"/>
                <w:szCs w:val="24"/>
              </w:rPr>
              <w:t xml:space="preserve">лен 16 </w:t>
            </w:r>
            <w:r w:rsidRPr="00A56E7B">
              <w:rPr>
                <w:rFonts w:ascii="Times New Roman" w:hAnsi="Times New Roman" w:cs="Times New Roman"/>
                <w:b/>
                <w:bCs/>
                <w:sz w:val="24"/>
                <w:szCs w:val="24"/>
              </w:rPr>
              <w:t>Функции</w:t>
            </w:r>
            <w:r>
              <w:rPr>
                <w:rFonts w:ascii="Times New Roman" w:hAnsi="Times New Roman" w:cs="Times New Roman"/>
                <w:b/>
                <w:bCs/>
                <w:sz w:val="24"/>
                <w:szCs w:val="24"/>
              </w:rPr>
              <w:t xml:space="preserve"> </w:t>
            </w:r>
            <w:r w:rsidRPr="00046952">
              <w:rPr>
                <w:rFonts w:ascii="Times New Roman" w:hAnsi="Times New Roman" w:cs="Times New Roman"/>
                <w:bCs/>
                <w:sz w:val="24"/>
                <w:szCs w:val="24"/>
              </w:rPr>
              <w:t xml:space="preserve">от Директива (ЕС) 2016/798 </w:t>
            </w:r>
            <w:r>
              <w:rPr>
                <w:rFonts w:ascii="Times New Roman" w:hAnsi="Times New Roman" w:cs="Times New Roman"/>
                <w:bCs/>
                <w:sz w:val="24"/>
                <w:szCs w:val="24"/>
              </w:rPr>
              <w:t>на</w:t>
            </w:r>
            <w:r w:rsidRPr="00046952">
              <w:rPr>
                <w:rFonts w:ascii="Times New Roman" w:hAnsi="Times New Roman" w:cs="Times New Roman"/>
                <w:bCs/>
                <w:sz w:val="24"/>
                <w:szCs w:val="24"/>
              </w:rPr>
              <w:t xml:space="preserve"> </w:t>
            </w:r>
            <w:r>
              <w:rPr>
                <w:rFonts w:ascii="Times New Roman" w:hAnsi="Times New Roman" w:cs="Times New Roman"/>
                <w:bCs/>
                <w:sz w:val="24"/>
                <w:szCs w:val="24"/>
              </w:rPr>
              <w:t>Е</w:t>
            </w:r>
            <w:r w:rsidRPr="00046952">
              <w:rPr>
                <w:rFonts w:ascii="Times New Roman" w:hAnsi="Times New Roman" w:cs="Times New Roman"/>
                <w:bCs/>
                <w:sz w:val="24"/>
                <w:szCs w:val="24"/>
              </w:rPr>
              <w:t xml:space="preserve">вропейския парламент и на </w:t>
            </w:r>
            <w:r>
              <w:rPr>
                <w:rFonts w:ascii="Times New Roman" w:hAnsi="Times New Roman" w:cs="Times New Roman"/>
                <w:bCs/>
                <w:sz w:val="24"/>
                <w:szCs w:val="24"/>
              </w:rPr>
              <w:t>С</w:t>
            </w:r>
            <w:r w:rsidRPr="00046952">
              <w:rPr>
                <w:rFonts w:ascii="Times New Roman" w:hAnsi="Times New Roman" w:cs="Times New Roman"/>
                <w:bCs/>
                <w:sz w:val="24"/>
                <w:szCs w:val="24"/>
              </w:rPr>
              <w:t>ъвета от</w:t>
            </w:r>
            <w:r w:rsidRPr="001C56EC">
              <w:rPr>
                <w:rFonts w:ascii="Times New Roman" w:hAnsi="Times New Roman" w:cs="Times New Roman"/>
                <w:b/>
                <w:bCs/>
                <w:sz w:val="24"/>
                <w:szCs w:val="24"/>
              </w:rPr>
              <w:t xml:space="preserve"> </w:t>
            </w:r>
            <w:r w:rsidRPr="00046952">
              <w:rPr>
                <w:rFonts w:ascii="Times New Roman" w:hAnsi="Times New Roman" w:cs="Times New Roman"/>
                <w:bCs/>
                <w:sz w:val="24"/>
                <w:szCs w:val="24"/>
              </w:rPr>
              <w:t>11 май 2016 година относно безопасността на железопътния транспорт</w:t>
            </w:r>
            <w:r>
              <w:rPr>
                <w:rFonts w:ascii="Times New Roman" w:hAnsi="Times New Roman" w:cs="Times New Roman"/>
                <w:bCs/>
                <w:sz w:val="24"/>
                <w:szCs w:val="24"/>
              </w:rPr>
              <w:t xml:space="preserve">. Съгласно параграф </w:t>
            </w:r>
            <w:r w:rsidRPr="00046952">
              <w:rPr>
                <w:rFonts w:ascii="Times New Roman" w:hAnsi="Times New Roman" w:cs="Times New Roman"/>
                <w:bCs/>
                <w:sz w:val="24"/>
                <w:szCs w:val="24"/>
              </w:rPr>
              <w:t xml:space="preserve"> </w:t>
            </w:r>
            <w:r>
              <w:rPr>
                <w:rFonts w:ascii="Times New Roman" w:hAnsi="Times New Roman" w:cs="Times New Roman"/>
                <w:sz w:val="24"/>
                <w:szCs w:val="24"/>
              </w:rPr>
              <w:t xml:space="preserve">2 от посочения член </w:t>
            </w:r>
          </w:p>
          <w:p w:rsidR="00F97DAA" w:rsidRDefault="00F97DAA" w:rsidP="00046952">
            <w:pPr>
              <w:rPr>
                <w:rFonts w:ascii="Times New Roman" w:hAnsi="Times New Roman" w:cs="Times New Roman"/>
                <w:i/>
                <w:sz w:val="24"/>
                <w:szCs w:val="24"/>
              </w:rPr>
            </w:pPr>
            <w:r w:rsidRPr="00F97DAA">
              <w:rPr>
                <w:rFonts w:ascii="Times New Roman" w:hAnsi="Times New Roman" w:cs="Times New Roman"/>
                <w:i/>
                <w:sz w:val="24"/>
                <w:szCs w:val="24"/>
              </w:rPr>
              <w:t>„На националния орган по безопасността се възлагат най-малко следните функции: а) издаване на разрешение за въвеждане в експлоатация на подсистемите за контрол, управление и сигнализация по железопътната линия, на енергийните и инфраструктурните подсистеми, изграждащи железопътната система на Съюза, в съответствие с член 18, параграф 2 от Директива (ЕС) 2016/797;“</w:t>
            </w:r>
          </w:p>
          <w:p w:rsidR="00F97DAA" w:rsidRPr="00F97DAA" w:rsidRDefault="00F97DAA" w:rsidP="00046952">
            <w:pPr>
              <w:rPr>
                <w:rFonts w:ascii="Times New Roman" w:hAnsi="Times New Roman" w:cs="Times New Roman"/>
                <w:b/>
                <w:bCs/>
                <w:sz w:val="24"/>
                <w:szCs w:val="24"/>
              </w:rPr>
            </w:pPr>
            <w:r>
              <w:rPr>
                <w:rFonts w:ascii="Times New Roman" w:hAnsi="Times New Roman" w:cs="Times New Roman"/>
                <w:sz w:val="24"/>
                <w:szCs w:val="24"/>
              </w:rPr>
              <w:lastRenderedPageBreak/>
              <w:t xml:space="preserve">Предложения текст в ЗИД на ЗЖТ е точен и отговаря на разпоредбата на Директивата. </w:t>
            </w:r>
          </w:p>
        </w:tc>
      </w:tr>
      <w:tr w:rsidR="00F97DAA" w:rsidRPr="000C4D15" w:rsidTr="00B112E6">
        <w:tc>
          <w:tcPr>
            <w:tcW w:w="2127" w:type="dxa"/>
            <w:vMerge/>
          </w:tcPr>
          <w:p w:rsidR="00F97DAA" w:rsidRDefault="00F97DAA" w:rsidP="00222E65">
            <w:pPr>
              <w:rPr>
                <w:rFonts w:ascii="Times New Roman" w:hAnsi="Times New Roman" w:cs="Times New Roman"/>
                <w:sz w:val="24"/>
                <w:szCs w:val="24"/>
              </w:rPr>
            </w:pPr>
          </w:p>
        </w:tc>
        <w:tc>
          <w:tcPr>
            <w:tcW w:w="7230" w:type="dxa"/>
          </w:tcPr>
          <w:p w:rsidR="00F97DAA" w:rsidRPr="00F97DAA" w:rsidRDefault="00F97DAA" w:rsidP="00F310B4">
            <w:pPr>
              <w:tabs>
                <w:tab w:val="left" w:pos="328"/>
              </w:tabs>
              <w:rPr>
                <w:rFonts w:ascii="Times New Roman" w:hAnsi="Times New Roman" w:cs="Times New Roman"/>
                <w:bCs/>
                <w:sz w:val="24"/>
                <w:szCs w:val="24"/>
              </w:rPr>
            </w:pPr>
            <w:r w:rsidRPr="00F97DAA">
              <w:rPr>
                <w:rFonts w:ascii="Times New Roman" w:hAnsi="Times New Roman" w:cs="Times New Roman"/>
                <w:bCs/>
                <w:sz w:val="24"/>
                <w:szCs w:val="24"/>
              </w:rPr>
              <w:t>2.</w:t>
            </w:r>
            <w:r w:rsidRPr="00F97DAA">
              <w:rPr>
                <w:rFonts w:ascii="Times New Roman" w:hAnsi="Times New Roman" w:cs="Times New Roman"/>
                <w:bCs/>
                <w:sz w:val="24"/>
                <w:szCs w:val="24"/>
              </w:rPr>
              <w:tab/>
              <w:t>С промените, предвидени в § 4 от ЗИД на ЗЖТ, се</w:t>
            </w:r>
            <w:r>
              <w:rPr>
                <w:rFonts w:ascii="Times New Roman" w:hAnsi="Times New Roman" w:cs="Times New Roman"/>
                <w:bCs/>
                <w:sz w:val="24"/>
                <w:szCs w:val="24"/>
              </w:rPr>
              <w:t xml:space="preserve"> </w:t>
            </w:r>
            <w:r w:rsidRPr="00F97DAA">
              <w:rPr>
                <w:rFonts w:ascii="Times New Roman" w:hAnsi="Times New Roman" w:cs="Times New Roman"/>
                <w:bCs/>
                <w:sz w:val="24"/>
                <w:szCs w:val="24"/>
              </w:rPr>
              <w:t>изменят и допълват</w:t>
            </w:r>
            <w:r>
              <w:rPr>
                <w:rFonts w:ascii="Times New Roman" w:hAnsi="Times New Roman" w:cs="Times New Roman"/>
                <w:bCs/>
                <w:sz w:val="24"/>
                <w:szCs w:val="24"/>
              </w:rPr>
              <w:t xml:space="preserve"> </w:t>
            </w:r>
            <w:r w:rsidRPr="00F97DAA">
              <w:rPr>
                <w:rFonts w:ascii="Times New Roman" w:hAnsi="Times New Roman" w:cs="Times New Roman"/>
                <w:bCs/>
                <w:sz w:val="24"/>
                <w:szCs w:val="24"/>
              </w:rPr>
              <w:t>текстовете   на   чл.</w:t>
            </w:r>
            <w:r w:rsidR="00775332">
              <w:rPr>
                <w:rFonts w:ascii="Times New Roman" w:hAnsi="Times New Roman" w:cs="Times New Roman"/>
                <w:bCs/>
                <w:sz w:val="24"/>
                <w:szCs w:val="24"/>
              </w:rPr>
              <w:t xml:space="preserve"> </w:t>
            </w:r>
            <w:r w:rsidRPr="00F97DAA">
              <w:rPr>
                <w:rFonts w:ascii="Times New Roman" w:hAnsi="Times New Roman" w:cs="Times New Roman"/>
                <w:bCs/>
                <w:sz w:val="24"/>
                <w:szCs w:val="24"/>
              </w:rPr>
              <w:t>10,   като   се   дава   право   на   управителя   на   железопътната</w:t>
            </w:r>
            <w:r>
              <w:rPr>
                <w:rFonts w:ascii="Times New Roman" w:hAnsi="Times New Roman" w:cs="Times New Roman"/>
                <w:bCs/>
                <w:sz w:val="24"/>
                <w:szCs w:val="24"/>
              </w:rPr>
              <w:t xml:space="preserve"> </w:t>
            </w:r>
            <w:r w:rsidRPr="00F97DAA">
              <w:rPr>
                <w:rFonts w:ascii="Times New Roman" w:hAnsi="Times New Roman" w:cs="Times New Roman"/>
                <w:bCs/>
                <w:sz w:val="24"/>
                <w:szCs w:val="24"/>
              </w:rPr>
              <w:t>инфраструктура да  възложи  функциите,  свързани  с  разпределение  на тяговата</w:t>
            </w:r>
            <w:r w:rsidRPr="00F97DAA">
              <w:rPr>
                <w:rFonts w:ascii="Times New Roman" w:hAnsi="Times New Roman" w:cs="Times New Roman"/>
                <w:bCs/>
                <w:sz w:val="24"/>
                <w:szCs w:val="24"/>
              </w:rPr>
              <w:br/>
              <w:t>електрическа енергия по разпределителните мрежи на</w:t>
            </w:r>
            <w:r>
              <w:rPr>
                <w:rFonts w:ascii="Times New Roman" w:hAnsi="Times New Roman" w:cs="Times New Roman"/>
                <w:bCs/>
                <w:sz w:val="24"/>
                <w:szCs w:val="24"/>
              </w:rPr>
              <w:t xml:space="preserve"> </w:t>
            </w:r>
            <w:r w:rsidRPr="00F97DAA">
              <w:rPr>
                <w:rFonts w:ascii="Times New Roman" w:hAnsi="Times New Roman" w:cs="Times New Roman"/>
                <w:bCs/>
                <w:sz w:val="24"/>
                <w:szCs w:val="24"/>
              </w:rPr>
              <w:t>железопътния транспорт, на</w:t>
            </w:r>
            <w:r>
              <w:rPr>
                <w:rFonts w:ascii="Times New Roman" w:hAnsi="Times New Roman" w:cs="Times New Roman"/>
                <w:bCs/>
                <w:sz w:val="24"/>
                <w:szCs w:val="24"/>
              </w:rPr>
              <w:t xml:space="preserve"> </w:t>
            </w:r>
            <w:r w:rsidRPr="00F97DAA">
              <w:rPr>
                <w:rFonts w:ascii="Times New Roman" w:hAnsi="Times New Roman" w:cs="Times New Roman"/>
                <w:bCs/>
                <w:sz w:val="24"/>
                <w:szCs w:val="24"/>
              </w:rPr>
              <w:t>лице, което не е железопътно предприятие, не контролира железопътно предприятие</w:t>
            </w:r>
            <w:r>
              <w:rPr>
                <w:rFonts w:ascii="Times New Roman" w:hAnsi="Times New Roman" w:cs="Times New Roman"/>
                <w:bCs/>
                <w:sz w:val="24"/>
                <w:szCs w:val="24"/>
              </w:rPr>
              <w:t xml:space="preserve"> </w:t>
            </w:r>
            <w:r w:rsidRPr="00F97DAA">
              <w:rPr>
                <w:rFonts w:ascii="Times New Roman" w:hAnsi="Times New Roman" w:cs="Times New Roman"/>
                <w:bCs/>
                <w:sz w:val="24"/>
                <w:szCs w:val="24"/>
              </w:rPr>
              <w:t>или не е контролирано от железопътно предприятие.</w:t>
            </w:r>
          </w:p>
          <w:p w:rsidR="007E53FA" w:rsidRPr="000E1663" w:rsidRDefault="00F97DAA" w:rsidP="00F310B4">
            <w:pPr>
              <w:rPr>
                <w:rFonts w:ascii="Times New Roman" w:hAnsi="Times New Roman" w:cs="Times New Roman"/>
                <w:bCs/>
                <w:sz w:val="24"/>
                <w:szCs w:val="24"/>
              </w:rPr>
            </w:pPr>
            <w:r w:rsidRPr="00F97DAA">
              <w:rPr>
                <w:rFonts w:ascii="Times New Roman" w:hAnsi="Times New Roman" w:cs="Times New Roman"/>
                <w:bCs/>
                <w:sz w:val="24"/>
                <w:szCs w:val="24"/>
              </w:rPr>
              <w:t>Предвид горното, предлагаме тази възможност да се съобрази с лицензионния режим, установен с закона за енергетиката (чл.43, ал.12 от ЗЕ), с цел постигане на единен правен режим по</w:t>
            </w:r>
            <w:r w:rsidR="00F310B4">
              <w:rPr>
                <w:rFonts w:ascii="Times New Roman" w:hAnsi="Times New Roman" w:cs="Times New Roman"/>
                <w:bCs/>
                <w:sz w:val="24"/>
                <w:szCs w:val="24"/>
              </w:rPr>
              <w:t xml:space="preserve"> </w:t>
            </w:r>
            <w:r w:rsidRPr="00F97DAA">
              <w:rPr>
                <w:rFonts w:ascii="Times New Roman" w:hAnsi="Times New Roman" w:cs="Times New Roman"/>
                <w:bCs/>
                <w:sz w:val="24"/>
                <w:szCs w:val="24"/>
              </w:rPr>
              <w:t xml:space="preserve">отношение на дейността, свързана с разпределение на тяговата електрическа енергия по разпределителните мрежи на </w:t>
            </w:r>
            <w:r w:rsidR="00F310B4">
              <w:rPr>
                <w:rFonts w:ascii="Times New Roman" w:hAnsi="Times New Roman" w:cs="Times New Roman"/>
                <w:bCs/>
                <w:sz w:val="24"/>
                <w:szCs w:val="24"/>
              </w:rPr>
              <w:t>ж</w:t>
            </w:r>
            <w:r w:rsidRPr="00F97DAA">
              <w:rPr>
                <w:rFonts w:ascii="Times New Roman" w:hAnsi="Times New Roman" w:cs="Times New Roman"/>
                <w:bCs/>
                <w:sz w:val="24"/>
                <w:szCs w:val="24"/>
              </w:rPr>
              <w:t>елезопътния транспорт.</w:t>
            </w:r>
          </w:p>
        </w:tc>
        <w:tc>
          <w:tcPr>
            <w:tcW w:w="1695" w:type="dxa"/>
          </w:tcPr>
          <w:p w:rsidR="00F97DAA" w:rsidRDefault="00F87895" w:rsidP="00D50163">
            <w:pPr>
              <w:rPr>
                <w:rFonts w:ascii="Times New Roman" w:hAnsi="Times New Roman" w:cs="Times New Roman"/>
                <w:sz w:val="24"/>
                <w:szCs w:val="24"/>
              </w:rPr>
            </w:pPr>
            <w:r>
              <w:rPr>
                <w:rFonts w:ascii="Times New Roman" w:hAnsi="Times New Roman" w:cs="Times New Roman"/>
                <w:sz w:val="24"/>
                <w:szCs w:val="24"/>
              </w:rPr>
              <w:t>Н</w:t>
            </w:r>
            <w:r w:rsidR="00F920A8" w:rsidRPr="00A56E7B">
              <w:rPr>
                <w:rFonts w:ascii="Times New Roman" w:hAnsi="Times New Roman" w:cs="Times New Roman"/>
                <w:sz w:val="24"/>
                <w:szCs w:val="24"/>
              </w:rPr>
              <w:t>е се прием</w:t>
            </w:r>
            <w:r>
              <w:rPr>
                <w:rFonts w:ascii="Times New Roman" w:hAnsi="Times New Roman" w:cs="Times New Roman"/>
                <w:sz w:val="24"/>
                <w:szCs w:val="24"/>
              </w:rPr>
              <w:t>а</w:t>
            </w:r>
          </w:p>
          <w:p w:rsidR="009C1CA0" w:rsidRDefault="009C1CA0" w:rsidP="00D50163">
            <w:pPr>
              <w:rPr>
                <w:rFonts w:ascii="Times New Roman" w:hAnsi="Times New Roman" w:cs="Times New Roman"/>
                <w:i/>
                <w:color w:val="FF0000"/>
                <w:sz w:val="24"/>
                <w:szCs w:val="24"/>
              </w:rPr>
            </w:pPr>
          </w:p>
          <w:p w:rsidR="009C1CA0" w:rsidRDefault="009C1CA0" w:rsidP="00D50163">
            <w:pPr>
              <w:rPr>
                <w:rFonts w:ascii="Times New Roman" w:hAnsi="Times New Roman" w:cs="Times New Roman"/>
                <w:i/>
                <w:color w:val="FF0000"/>
                <w:sz w:val="24"/>
                <w:szCs w:val="24"/>
              </w:rPr>
            </w:pPr>
          </w:p>
          <w:p w:rsidR="009C1CA0" w:rsidRPr="00F310B4" w:rsidRDefault="009C1CA0" w:rsidP="00D50163">
            <w:pPr>
              <w:rPr>
                <w:rFonts w:ascii="Times New Roman" w:hAnsi="Times New Roman" w:cs="Times New Roman"/>
                <w:i/>
                <w:color w:val="FF0000"/>
                <w:sz w:val="24"/>
                <w:szCs w:val="24"/>
              </w:rPr>
            </w:pPr>
          </w:p>
        </w:tc>
        <w:tc>
          <w:tcPr>
            <w:tcW w:w="4082" w:type="dxa"/>
          </w:tcPr>
          <w:p w:rsidR="00F97DAA" w:rsidRPr="005754A8" w:rsidRDefault="00F920A8" w:rsidP="00046952">
            <w:pPr>
              <w:rPr>
                <w:rFonts w:ascii="Times New Roman" w:hAnsi="Times New Roman" w:cs="Times New Roman"/>
                <w:iCs/>
                <w:sz w:val="24"/>
                <w:szCs w:val="24"/>
              </w:rPr>
            </w:pPr>
            <w:r w:rsidRPr="005754A8">
              <w:rPr>
                <w:rFonts w:ascii="Times New Roman" w:hAnsi="Times New Roman" w:cs="Times New Roman"/>
                <w:iCs/>
                <w:sz w:val="24"/>
                <w:szCs w:val="24"/>
              </w:rPr>
              <w:t>Тази възможност отпадна от последния вариант на ЗИД.</w:t>
            </w:r>
          </w:p>
          <w:p w:rsidR="009C1CA0" w:rsidRPr="005754A8" w:rsidRDefault="009C1CA0" w:rsidP="00046952">
            <w:pPr>
              <w:rPr>
                <w:rFonts w:ascii="Times New Roman" w:hAnsi="Times New Roman" w:cs="Times New Roman"/>
                <w:iCs/>
                <w:sz w:val="24"/>
                <w:szCs w:val="24"/>
              </w:rPr>
            </w:pPr>
          </w:p>
        </w:tc>
      </w:tr>
      <w:tr w:rsidR="009C1CA0" w:rsidRPr="000C4D15" w:rsidTr="00B112E6">
        <w:tc>
          <w:tcPr>
            <w:tcW w:w="2127" w:type="dxa"/>
          </w:tcPr>
          <w:p w:rsidR="009C1CA0" w:rsidRDefault="009C1CA0" w:rsidP="00222E65">
            <w:pPr>
              <w:rPr>
                <w:rFonts w:ascii="Times New Roman" w:hAnsi="Times New Roman" w:cs="Times New Roman"/>
                <w:sz w:val="24"/>
                <w:szCs w:val="24"/>
              </w:rPr>
            </w:pPr>
          </w:p>
        </w:tc>
        <w:tc>
          <w:tcPr>
            <w:tcW w:w="7230" w:type="dxa"/>
          </w:tcPr>
          <w:p w:rsidR="009C1CA0" w:rsidRPr="00F310B4" w:rsidRDefault="009C1CA0" w:rsidP="00FF5C6B">
            <w:pPr>
              <w:tabs>
                <w:tab w:val="left" w:pos="328"/>
              </w:tabs>
              <w:rPr>
                <w:rFonts w:ascii="Times New Roman" w:hAnsi="Times New Roman" w:cs="Times New Roman"/>
                <w:bCs/>
                <w:sz w:val="24"/>
                <w:szCs w:val="24"/>
              </w:rPr>
            </w:pPr>
            <w:r w:rsidRPr="00F310B4">
              <w:rPr>
                <w:rFonts w:ascii="Times New Roman" w:hAnsi="Times New Roman" w:cs="Times New Roman"/>
                <w:bCs/>
                <w:sz w:val="24"/>
                <w:szCs w:val="24"/>
              </w:rPr>
              <w:t>3.</w:t>
            </w:r>
            <w:r w:rsidRPr="00F310B4">
              <w:rPr>
                <w:rFonts w:ascii="Times New Roman" w:hAnsi="Times New Roman" w:cs="Times New Roman"/>
                <w:bCs/>
                <w:sz w:val="24"/>
                <w:szCs w:val="24"/>
              </w:rPr>
              <w:tab/>
              <w:t>Предлагаме в текста на чл.132, ал.1 да се разширят случаите, подлежащи на</w:t>
            </w:r>
            <w:r>
              <w:rPr>
                <w:rFonts w:ascii="Times New Roman" w:hAnsi="Times New Roman" w:cs="Times New Roman"/>
                <w:bCs/>
                <w:sz w:val="24"/>
                <w:szCs w:val="24"/>
              </w:rPr>
              <w:t xml:space="preserve"> </w:t>
            </w:r>
            <w:r w:rsidRPr="00F310B4">
              <w:rPr>
                <w:rFonts w:ascii="Times New Roman" w:hAnsi="Times New Roman" w:cs="Times New Roman"/>
                <w:bCs/>
                <w:sz w:val="24"/>
                <w:szCs w:val="24"/>
              </w:rPr>
              <w:t>санкция, както и да се увеличи размера на глобата, с цел превенция и постигане на</w:t>
            </w:r>
            <w:r>
              <w:rPr>
                <w:rFonts w:ascii="Times New Roman" w:hAnsi="Times New Roman" w:cs="Times New Roman"/>
                <w:bCs/>
                <w:sz w:val="24"/>
                <w:szCs w:val="24"/>
              </w:rPr>
              <w:t xml:space="preserve"> </w:t>
            </w:r>
            <w:r w:rsidRPr="00F310B4">
              <w:rPr>
                <w:rFonts w:ascii="Times New Roman" w:hAnsi="Times New Roman" w:cs="Times New Roman"/>
                <w:bCs/>
                <w:sz w:val="24"/>
                <w:szCs w:val="24"/>
              </w:rPr>
              <w:t>достатъчен възпиращ ефект по отношение на евентуалните нарушители, а именно:</w:t>
            </w:r>
          </w:p>
          <w:p w:rsidR="009C1CA0" w:rsidRPr="00F310B4" w:rsidRDefault="009C1CA0" w:rsidP="00FF5C6B">
            <w:pPr>
              <w:rPr>
                <w:rFonts w:ascii="Times New Roman" w:hAnsi="Times New Roman" w:cs="Times New Roman"/>
                <w:bCs/>
                <w:sz w:val="24"/>
                <w:szCs w:val="24"/>
              </w:rPr>
            </w:pPr>
            <w:r w:rsidRPr="00F310B4">
              <w:rPr>
                <w:rFonts w:ascii="Times New Roman" w:hAnsi="Times New Roman" w:cs="Times New Roman"/>
                <w:bCs/>
                <w:sz w:val="24"/>
                <w:szCs w:val="24"/>
              </w:rPr>
              <w:t>„Чл. 132. (1) Наказва се с глоба от 300 до 700 лв. водач на пътно превозно средство или друг участник в движението, който</w:t>
            </w:r>
            <w:r>
              <w:rPr>
                <w:rFonts w:ascii="Times New Roman" w:hAnsi="Times New Roman" w:cs="Times New Roman"/>
                <w:bCs/>
                <w:sz w:val="24"/>
                <w:szCs w:val="24"/>
              </w:rPr>
              <w:t xml:space="preserve"> </w:t>
            </w:r>
            <w:r w:rsidRPr="00F310B4">
              <w:rPr>
                <w:rFonts w:ascii="Times New Roman" w:hAnsi="Times New Roman" w:cs="Times New Roman"/>
                <w:bCs/>
                <w:sz w:val="24"/>
                <w:szCs w:val="24"/>
              </w:rPr>
              <w:t>преминава през железопътната линия извън определените за това места или нерегламентирано преминава през железопътните прелези."</w:t>
            </w:r>
          </w:p>
          <w:p w:rsidR="009C1CA0" w:rsidRDefault="009C1CA0" w:rsidP="00FF5C6B">
            <w:pPr>
              <w:rPr>
                <w:rFonts w:ascii="Times New Roman" w:hAnsi="Times New Roman" w:cs="Times New Roman"/>
                <w:bCs/>
                <w:sz w:val="24"/>
                <w:szCs w:val="24"/>
              </w:rPr>
            </w:pPr>
            <w:r w:rsidRPr="00F310B4">
              <w:rPr>
                <w:rFonts w:ascii="Times New Roman" w:hAnsi="Times New Roman" w:cs="Times New Roman"/>
                <w:bCs/>
                <w:sz w:val="24"/>
                <w:szCs w:val="24"/>
              </w:rPr>
              <w:lastRenderedPageBreak/>
              <w:t>С предложения текст се цели да се ограничат инцидентите, при които водачи на пътни превозни средства или други участници в движението, с риск за живота преминават през железопътни прелези при спуснати бариери или звукова и светлинна</w:t>
            </w:r>
            <w:r>
              <w:rPr>
                <w:rFonts w:ascii="Times New Roman" w:hAnsi="Times New Roman" w:cs="Times New Roman"/>
                <w:bCs/>
                <w:sz w:val="24"/>
                <w:szCs w:val="24"/>
              </w:rPr>
              <w:t xml:space="preserve"> </w:t>
            </w:r>
            <w:r w:rsidRPr="00F310B4">
              <w:rPr>
                <w:rFonts w:ascii="Times New Roman" w:hAnsi="Times New Roman" w:cs="Times New Roman"/>
                <w:bCs/>
                <w:sz w:val="24"/>
                <w:szCs w:val="24"/>
              </w:rPr>
              <w:t>сигнализации, показващи приближаването на влак. Статистиката сочи, че само за последните 3 години (2015, 2016, 2017 г.), при инциденти на прелези са ранени 25 души, а загиналите са 11. До 1 юни 2018 г. инцидентите на прелези са 13, с 6 ранени и 2-ма загинали. Значителни са и щетите, които търпи компанията от повредени бариерни механизми.</w:t>
            </w:r>
          </w:p>
          <w:p w:rsidR="005A0EA4" w:rsidRPr="000E1663" w:rsidRDefault="005A0EA4" w:rsidP="00FF5C6B">
            <w:pPr>
              <w:rPr>
                <w:rFonts w:ascii="Times New Roman" w:hAnsi="Times New Roman" w:cs="Times New Roman"/>
                <w:bCs/>
                <w:sz w:val="24"/>
                <w:szCs w:val="24"/>
              </w:rPr>
            </w:pPr>
          </w:p>
        </w:tc>
        <w:tc>
          <w:tcPr>
            <w:tcW w:w="1695" w:type="dxa"/>
          </w:tcPr>
          <w:p w:rsidR="009C1CA0" w:rsidRPr="005754A8" w:rsidRDefault="00F87895" w:rsidP="00766032">
            <w:pPr>
              <w:rPr>
                <w:rFonts w:ascii="Times New Roman" w:hAnsi="Times New Roman" w:cs="Times New Roman"/>
                <w:sz w:val="24"/>
                <w:szCs w:val="24"/>
              </w:rPr>
            </w:pPr>
            <w:r>
              <w:rPr>
                <w:rFonts w:ascii="Times New Roman" w:hAnsi="Times New Roman" w:cs="Times New Roman"/>
                <w:sz w:val="24"/>
                <w:szCs w:val="24"/>
              </w:rPr>
              <w:lastRenderedPageBreak/>
              <w:t>Не</w:t>
            </w:r>
            <w:r w:rsidR="009C1CA0" w:rsidRPr="005754A8">
              <w:rPr>
                <w:rFonts w:ascii="Times New Roman" w:hAnsi="Times New Roman" w:cs="Times New Roman"/>
                <w:sz w:val="24"/>
                <w:szCs w:val="24"/>
              </w:rPr>
              <w:t xml:space="preserve"> с</w:t>
            </w:r>
            <w:r>
              <w:rPr>
                <w:rFonts w:ascii="Times New Roman" w:hAnsi="Times New Roman" w:cs="Times New Roman"/>
                <w:sz w:val="24"/>
                <w:szCs w:val="24"/>
              </w:rPr>
              <w:t>е приема</w:t>
            </w:r>
          </w:p>
        </w:tc>
        <w:tc>
          <w:tcPr>
            <w:tcW w:w="4082" w:type="dxa"/>
          </w:tcPr>
          <w:p w:rsidR="009C1CA0" w:rsidRPr="00F87895" w:rsidRDefault="009C1CA0" w:rsidP="00766032">
            <w:pPr>
              <w:pStyle w:val="ListParagraph"/>
              <w:numPr>
                <w:ilvl w:val="0"/>
                <w:numId w:val="5"/>
              </w:numPr>
              <w:ind w:left="39" w:firstLine="321"/>
              <w:rPr>
                <w:rFonts w:ascii="Times New Roman" w:hAnsi="Times New Roman" w:cs="Times New Roman"/>
                <w:iCs/>
                <w:sz w:val="24"/>
                <w:szCs w:val="24"/>
              </w:rPr>
            </w:pPr>
            <w:r w:rsidRPr="00F87895">
              <w:rPr>
                <w:rFonts w:ascii="Times New Roman" w:hAnsi="Times New Roman" w:cs="Times New Roman"/>
                <w:iCs/>
                <w:sz w:val="24"/>
                <w:szCs w:val="24"/>
              </w:rPr>
              <w:t xml:space="preserve"> „Друг участник в движението“, който преминава през железопътната линия извън определените за това места се санкционира по чл. 130 от ЗЖТ. Но този „друг участник в движението“ може да пресича на нерегламентирано място (санкция по чл. 130) и без да е „участник в </w:t>
            </w:r>
            <w:r w:rsidRPr="00F87895">
              <w:rPr>
                <w:rFonts w:ascii="Times New Roman" w:hAnsi="Times New Roman" w:cs="Times New Roman"/>
                <w:iCs/>
                <w:sz w:val="24"/>
                <w:szCs w:val="24"/>
              </w:rPr>
              <w:lastRenderedPageBreak/>
              <w:t>движението“, а например – върви през полето и пресича жп линия на нерегламентирано място.</w:t>
            </w:r>
          </w:p>
          <w:p w:rsidR="009C1CA0" w:rsidRPr="00F87895" w:rsidRDefault="009C1CA0" w:rsidP="00766032">
            <w:pPr>
              <w:pStyle w:val="ListParagraph"/>
              <w:numPr>
                <w:ilvl w:val="0"/>
                <w:numId w:val="5"/>
              </w:numPr>
              <w:ind w:left="39" w:firstLine="321"/>
              <w:rPr>
                <w:rFonts w:ascii="Times New Roman" w:hAnsi="Times New Roman" w:cs="Times New Roman"/>
                <w:iCs/>
                <w:sz w:val="24"/>
                <w:szCs w:val="24"/>
              </w:rPr>
            </w:pPr>
            <w:r w:rsidRPr="00F87895">
              <w:rPr>
                <w:rFonts w:ascii="Times New Roman" w:hAnsi="Times New Roman" w:cs="Times New Roman"/>
                <w:iCs/>
                <w:sz w:val="24"/>
                <w:szCs w:val="24"/>
              </w:rPr>
              <w:t xml:space="preserve">„Друг участник в движението“ (освен водач на ППС – което може да бъде и велосипед съгласно § 6, т. 19 от ДР на Закона за движение по пътищата (ЗДП)), ако се им предвид „пешеходец“ няма как да премине нерегламентирано през „железопътните прелези“, т. к.: </w:t>
            </w:r>
          </w:p>
          <w:p w:rsidR="009C1CA0" w:rsidRPr="00F87895" w:rsidRDefault="009C1CA0" w:rsidP="009C1CA0">
            <w:pPr>
              <w:ind w:left="39"/>
              <w:rPr>
                <w:rFonts w:ascii="Times New Roman" w:hAnsi="Times New Roman" w:cs="Times New Roman"/>
                <w:iCs/>
                <w:sz w:val="24"/>
                <w:szCs w:val="24"/>
              </w:rPr>
            </w:pPr>
            <w:r w:rsidRPr="00F87895">
              <w:rPr>
                <w:rFonts w:ascii="Times New Roman" w:hAnsi="Times New Roman" w:cs="Times New Roman"/>
                <w:iCs/>
                <w:sz w:val="24"/>
                <w:szCs w:val="24"/>
              </w:rPr>
              <w:t xml:space="preserve">         а) в Наредба № 55 са регламентирани „пешеходни прелези“; </w:t>
            </w:r>
          </w:p>
          <w:p w:rsidR="009C1CA0" w:rsidRPr="00F87895" w:rsidRDefault="009C1CA0" w:rsidP="009C1CA0">
            <w:pPr>
              <w:ind w:left="39"/>
              <w:rPr>
                <w:rFonts w:ascii="Times New Roman" w:hAnsi="Times New Roman" w:cs="Times New Roman"/>
                <w:iCs/>
                <w:sz w:val="24"/>
                <w:szCs w:val="24"/>
              </w:rPr>
            </w:pPr>
            <w:r w:rsidRPr="00F87895">
              <w:rPr>
                <w:rFonts w:ascii="Times New Roman" w:hAnsi="Times New Roman" w:cs="Times New Roman"/>
                <w:iCs/>
                <w:sz w:val="24"/>
                <w:szCs w:val="24"/>
              </w:rPr>
              <w:t xml:space="preserve">         б) Съгласно чл. 188, т. 6 от Н-55 на прелезите се поставя „пътна сигнализация – шосейни светофари, пътни знаци и пътна маркировка“. Т. е. на пешеходния прелез може да има забраняващ преминаването на „пешеходец“ само „шосеен светофар“; </w:t>
            </w:r>
          </w:p>
          <w:p w:rsidR="009C1CA0" w:rsidRPr="00F87895" w:rsidRDefault="009C1CA0" w:rsidP="009C1CA0">
            <w:pPr>
              <w:ind w:left="39"/>
              <w:rPr>
                <w:rFonts w:ascii="Times New Roman" w:hAnsi="Times New Roman" w:cs="Times New Roman"/>
                <w:iCs/>
                <w:sz w:val="24"/>
                <w:szCs w:val="24"/>
              </w:rPr>
            </w:pPr>
            <w:r w:rsidRPr="00F87895">
              <w:rPr>
                <w:rFonts w:ascii="Times New Roman" w:hAnsi="Times New Roman" w:cs="Times New Roman"/>
                <w:iCs/>
                <w:sz w:val="24"/>
                <w:szCs w:val="24"/>
              </w:rPr>
              <w:t xml:space="preserve">        в) и ако пешеходецът премине на червен светофар – той нарушава ЗДП. На прелезите за автомобили, (които не са за пешеходци, няма определен в закона (както в ЗДП, така и в ЗЖТ) начин да се сигнализира на пешеходеца, че е забранено да премине през прелеза – сигналите са за автомобилите. Т. е. пешеходеца може да се приеме, че преминава извън определените места; </w:t>
            </w:r>
          </w:p>
          <w:p w:rsidR="009C1CA0" w:rsidRPr="00F87895" w:rsidRDefault="009C1CA0" w:rsidP="009C1CA0">
            <w:pPr>
              <w:ind w:left="39"/>
              <w:rPr>
                <w:rFonts w:ascii="Times New Roman" w:hAnsi="Times New Roman" w:cs="Times New Roman"/>
                <w:iCs/>
                <w:sz w:val="24"/>
                <w:szCs w:val="24"/>
              </w:rPr>
            </w:pPr>
            <w:r w:rsidRPr="00F87895">
              <w:rPr>
                <w:rFonts w:ascii="Times New Roman" w:hAnsi="Times New Roman" w:cs="Times New Roman"/>
                <w:iCs/>
                <w:sz w:val="24"/>
                <w:szCs w:val="24"/>
              </w:rPr>
              <w:t xml:space="preserve">        г) Когато има пътен прелез, но преминават и пешеходци, съгласно Наредба № 55 се изгражда комбиниран прелез - пътен и </w:t>
            </w:r>
            <w:r w:rsidRPr="00F87895">
              <w:rPr>
                <w:rFonts w:ascii="Times New Roman" w:hAnsi="Times New Roman" w:cs="Times New Roman"/>
                <w:iCs/>
                <w:sz w:val="24"/>
                <w:szCs w:val="24"/>
              </w:rPr>
              <w:lastRenderedPageBreak/>
              <w:t>пешеходен.</w:t>
            </w:r>
          </w:p>
          <w:p w:rsidR="009C1CA0" w:rsidRPr="00F87895" w:rsidRDefault="009C1CA0" w:rsidP="00766032">
            <w:pPr>
              <w:pStyle w:val="ListParagraph"/>
              <w:numPr>
                <w:ilvl w:val="0"/>
                <w:numId w:val="5"/>
              </w:numPr>
              <w:ind w:left="39" w:firstLine="321"/>
              <w:rPr>
                <w:rFonts w:ascii="Times New Roman" w:hAnsi="Times New Roman" w:cs="Times New Roman"/>
                <w:iCs/>
                <w:sz w:val="24"/>
                <w:szCs w:val="24"/>
              </w:rPr>
            </w:pPr>
            <w:r w:rsidRPr="00F87895">
              <w:rPr>
                <w:rFonts w:ascii="Times New Roman" w:hAnsi="Times New Roman" w:cs="Times New Roman"/>
                <w:iCs/>
                <w:sz w:val="24"/>
                <w:szCs w:val="24"/>
              </w:rPr>
              <w:t xml:space="preserve">Водач на пътно превозно средство, който „наруши правилата за преминаване през железопътен прелез“ (а не „през железопътните прелези“, т. к. няма как да премине през повече от един прелез) се наказва с глоба от 20 до 150 лв съгласно чл. 180 от ЗДП. Съгласно чл. 165 от ЗДП глобата по чл. 180 от ЗДП се налага от „определени от министъра на вътрешните работи служби“. Съгласно чл. 118б от ЗЖТ право да съставят актове по чл. 132 имат „длъжностни лица, определени от министъра на вътрешните работи“. </w:t>
            </w:r>
            <w:r w:rsidR="000D3655" w:rsidRPr="00F87895">
              <w:rPr>
                <w:rFonts w:ascii="Times New Roman" w:hAnsi="Times New Roman" w:cs="Times New Roman"/>
                <w:iCs/>
                <w:sz w:val="24"/>
                <w:szCs w:val="24"/>
              </w:rPr>
              <w:t>За</w:t>
            </w:r>
            <w:r w:rsidRPr="00F87895">
              <w:rPr>
                <w:rFonts w:ascii="Times New Roman" w:hAnsi="Times New Roman" w:cs="Times New Roman"/>
                <w:iCs/>
                <w:sz w:val="24"/>
                <w:szCs w:val="24"/>
              </w:rPr>
              <w:t xml:space="preserve"> </w:t>
            </w:r>
            <w:r w:rsidR="000D3655" w:rsidRPr="00F87895">
              <w:rPr>
                <w:rFonts w:ascii="Times New Roman" w:hAnsi="Times New Roman" w:cs="Times New Roman"/>
                <w:iCs/>
                <w:sz w:val="24"/>
                <w:szCs w:val="24"/>
              </w:rPr>
              <w:t xml:space="preserve">едно нарушение –  </w:t>
            </w:r>
            <w:r w:rsidRPr="00F87895">
              <w:rPr>
                <w:rFonts w:ascii="Times New Roman" w:hAnsi="Times New Roman" w:cs="Times New Roman"/>
                <w:iCs/>
                <w:sz w:val="24"/>
                <w:szCs w:val="24"/>
              </w:rPr>
              <w:t xml:space="preserve">„нарушение на правилата за преминаване през железопътен прелез“ </w:t>
            </w:r>
            <w:r w:rsidR="000D3655" w:rsidRPr="00F87895">
              <w:rPr>
                <w:rFonts w:ascii="Times New Roman" w:hAnsi="Times New Roman" w:cs="Times New Roman"/>
                <w:iCs/>
                <w:sz w:val="24"/>
                <w:szCs w:val="24"/>
              </w:rPr>
              <w:t>би следвало да има</w:t>
            </w:r>
            <w:r w:rsidRPr="00F87895">
              <w:rPr>
                <w:rFonts w:ascii="Times New Roman" w:hAnsi="Times New Roman" w:cs="Times New Roman"/>
                <w:iCs/>
                <w:sz w:val="24"/>
                <w:szCs w:val="24"/>
              </w:rPr>
              <w:t xml:space="preserve"> една санкция, а не две, по два различни закона.</w:t>
            </w:r>
          </w:p>
          <w:p w:rsidR="005A0EA4" w:rsidRDefault="009C1CA0" w:rsidP="00F87895">
            <w:pPr>
              <w:pStyle w:val="ListParagraph"/>
              <w:numPr>
                <w:ilvl w:val="0"/>
                <w:numId w:val="5"/>
              </w:numPr>
              <w:ind w:left="39" w:firstLine="321"/>
              <w:rPr>
                <w:rFonts w:ascii="Times New Roman" w:hAnsi="Times New Roman" w:cs="Times New Roman"/>
                <w:iCs/>
                <w:sz w:val="24"/>
                <w:szCs w:val="24"/>
              </w:rPr>
            </w:pPr>
            <w:r w:rsidRPr="00F87895">
              <w:rPr>
                <w:rFonts w:ascii="Times New Roman" w:hAnsi="Times New Roman" w:cs="Times New Roman"/>
                <w:iCs/>
                <w:sz w:val="24"/>
                <w:szCs w:val="24"/>
              </w:rPr>
              <w:t xml:space="preserve">Относно щетите, които търпи НКЖИ от повредени бариерни механизми, в ЗЖТ има санкция – съгласно чл. 131, ал. 1 – глоба от 50 до 150 лв. и </w:t>
            </w:r>
            <w:r w:rsidRPr="00F87895">
              <w:rPr>
                <w:rFonts w:ascii="Times New Roman" w:hAnsi="Times New Roman" w:cs="Times New Roman"/>
                <w:b/>
                <w:bCs/>
                <w:iCs/>
                <w:sz w:val="24"/>
                <w:szCs w:val="24"/>
              </w:rPr>
              <w:t>заплащане стойността на повреденото имущество</w:t>
            </w:r>
            <w:r w:rsidRPr="00F87895">
              <w:rPr>
                <w:rFonts w:ascii="Times New Roman" w:hAnsi="Times New Roman" w:cs="Times New Roman"/>
                <w:iCs/>
                <w:sz w:val="24"/>
                <w:szCs w:val="24"/>
              </w:rPr>
              <w:t xml:space="preserve"> на „лице, което поврежда железопътни съоръжения“. До сега от НКЖИ не са посочвали стойността на повреденото имущество при издаване на НП от изпълнителния директор на ИАЖА за нарушение, при което е счупена бариера на прелез.   </w:t>
            </w:r>
          </w:p>
          <w:p w:rsidR="00F87895" w:rsidRDefault="00F87895" w:rsidP="00F87895">
            <w:pPr>
              <w:rPr>
                <w:rFonts w:ascii="Times New Roman" w:hAnsi="Times New Roman" w:cs="Times New Roman"/>
                <w:iCs/>
                <w:sz w:val="24"/>
                <w:szCs w:val="24"/>
              </w:rPr>
            </w:pPr>
          </w:p>
          <w:p w:rsidR="00F87895" w:rsidRPr="00F87895" w:rsidRDefault="00F87895" w:rsidP="00F87895">
            <w:pPr>
              <w:rPr>
                <w:rFonts w:ascii="Times New Roman" w:hAnsi="Times New Roman" w:cs="Times New Roman"/>
                <w:iCs/>
                <w:sz w:val="24"/>
                <w:szCs w:val="24"/>
              </w:rPr>
            </w:pPr>
          </w:p>
        </w:tc>
      </w:tr>
      <w:tr w:rsidR="00F31C82" w:rsidRPr="000C4D15" w:rsidTr="00B112E6">
        <w:tc>
          <w:tcPr>
            <w:tcW w:w="2127" w:type="dxa"/>
          </w:tcPr>
          <w:p w:rsid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lastRenderedPageBreak/>
              <w:t xml:space="preserve">Дата: </w:t>
            </w:r>
            <w:r w:rsidRPr="00743543">
              <w:rPr>
                <w:rFonts w:ascii="Times New Roman" w:hAnsi="Times New Roman" w:cs="Times New Roman"/>
                <w:bCs/>
                <w:sz w:val="24"/>
                <w:szCs w:val="24"/>
                <w:lang w:val="ru-RU"/>
              </w:rPr>
              <w:t xml:space="preserve"> </w:t>
            </w:r>
            <w:r>
              <w:rPr>
                <w:rFonts w:ascii="Times New Roman" w:hAnsi="Times New Roman" w:cs="Times New Roman"/>
                <w:bCs/>
                <w:sz w:val="24"/>
                <w:szCs w:val="24"/>
              </w:rPr>
              <w:t>0</w:t>
            </w:r>
            <w:r w:rsidRPr="00F31C82">
              <w:rPr>
                <w:rFonts w:ascii="Times New Roman" w:hAnsi="Times New Roman" w:cs="Times New Roman"/>
                <w:bCs/>
                <w:sz w:val="24"/>
                <w:szCs w:val="24"/>
              </w:rPr>
              <w:t>6</w:t>
            </w:r>
            <w:r w:rsidRPr="00743543">
              <w:rPr>
                <w:rFonts w:ascii="Times New Roman" w:hAnsi="Times New Roman" w:cs="Times New Roman"/>
                <w:bCs/>
                <w:sz w:val="24"/>
                <w:szCs w:val="24"/>
                <w:lang w:val="ru-RU"/>
              </w:rPr>
              <w:t>.1</w:t>
            </w:r>
            <w:r>
              <w:rPr>
                <w:rFonts w:ascii="Times New Roman" w:hAnsi="Times New Roman" w:cs="Times New Roman"/>
                <w:bCs/>
                <w:sz w:val="24"/>
                <w:szCs w:val="24"/>
              </w:rPr>
              <w:t>1</w:t>
            </w:r>
            <w:r w:rsidRPr="00743543">
              <w:rPr>
                <w:rFonts w:ascii="Times New Roman" w:hAnsi="Times New Roman" w:cs="Times New Roman"/>
                <w:bCs/>
                <w:sz w:val="24"/>
                <w:szCs w:val="24"/>
                <w:lang w:val="ru-RU"/>
              </w:rPr>
              <w:t>.</w:t>
            </w:r>
            <w:r w:rsidRPr="00F31C82">
              <w:rPr>
                <w:rFonts w:ascii="Times New Roman" w:hAnsi="Times New Roman" w:cs="Times New Roman"/>
                <w:bCs/>
                <w:sz w:val="24"/>
                <w:szCs w:val="24"/>
              </w:rPr>
              <w:t>2018 г.</w:t>
            </w:r>
          </w:p>
          <w:p w:rsidR="00F31C82" w:rsidRDefault="00F31C82" w:rsidP="00F31C82">
            <w:pPr>
              <w:tabs>
                <w:tab w:val="left" w:pos="328"/>
              </w:tabs>
              <w:rPr>
                <w:rFonts w:ascii="Times New Roman" w:hAnsi="Times New Roman" w:cs="Times New Roman"/>
                <w:bCs/>
                <w:sz w:val="24"/>
                <w:szCs w:val="24"/>
              </w:rPr>
            </w:pPr>
            <w:r>
              <w:rPr>
                <w:rFonts w:ascii="Times New Roman" w:hAnsi="Times New Roman" w:cs="Times New Roman"/>
                <w:bCs/>
                <w:sz w:val="24"/>
                <w:szCs w:val="24"/>
              </w:rPr>
              <w:t xml:space="preserve">По електронната поща от </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Бойко Калъчев</w:t>
            </w:r>
            <w:r w:rsidR="007004DC">
              <w:rPr>
                <w:rFonts w:ascii="Times New Roman" w:hAnsi="Times New Roman" w:cs="Times New Roman"/>
                <w:bCs/>
                <w:sz w:val="24"/>
                <w:szCs w:val="24"/>
              </w:rPr>
              <w:t>,</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xml:space="preserve">Главен експерт </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xml:space="preserve">Сектор "ТСОС и ОР" към Инспекция „БП и ТСОС“ </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ДП „</w:t>
            </w:r>
            <w:r w:rsidR="008F5766">
              <w:rPr>
                <w:rFonts w:ascii="Times New Roman" w:hAnsi="Times New Roman" w:cs="Times New Roman"/>
                <w:bCs/>
                <w:sz w:val="24"/>
                <w:szCs w:val="24"/>
              </w:rPr>
              <w:t>НКЖИ</w:t>
            </w:r>
            <w:r w:rsidRPr="00F31C82">
              <w:rPr>
                <w:rFonts w:ascii="Times New Roman" w:hAnsi="Times New Roman" w:cs="Times New Roman"/>
                <w:bCs/>
                <w:sz w:val="24"/>
                <w:szCs w:val="24"/>
              </w:rPr>
              <w:t>”</w:t>
            </w:r>
          </w:p>
          <w:p w:rsidR="00F31C82" w:rsidRDefault="00F31C82" w:rsidP="00222E65">
            <w:pPr>
              <w:rPr>
                <w:rFonts w:ascii="Times New Roman" w:hAnsi="Times New Roman" w:cs="Times New Roman"/>
                <w:sz w:val="24"/>
                <w:szCs w:val="24"/>
              </w:rPr>
            </w:pPr>
          </w:p>
        </w:tc>
        <w:tc>
          <w:tcPr>
            <w:tcW w:w="7230" w:type="dxa"/>
          </w:tcPr>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xml:space="preserve">Приложено изпращам за информация моите предложения и коментари по ЗИД на ЗЖТ, отбелязани в текста на ЗЖТ с нанесените промени, който отдел "Правна" на ДП НКЖИ изготви и ни изпрати за улеснение (вж. имейла по-долу на шефката на отдела Светла Свиленова). </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Позволих си да ги изпратя, защото отдел "Правна"  на ДП НКЖИ са решили да не ги вземат предвид с мотивите, че те не кас</w:t>
            </w:r>
            <w:r w:rsidR="000E7E2A">
              <w:rPr>
                <w:rFonts w:ascii="Times New Roman" w:hAnsi="Times New Roman" w:cs="Times New Roman"/>
                <w:bCs/>
                <w:sz w:val="24"/>
                <w:szCs w:val="24"/>
              </w:rPr>
              <w:t>а</w:t>
            </w:r>
            <w:r w:rsidRPr="00F31C82">
              <w:rPr>
                <w:rFonts w:ascii="Times New Roman" w:hAnsi="Times New Roman" w:cs="Times New Roman"/>
                <w:bCs/>
                <w:sz w:val="24"/>
                <w:szCs w:val="24"/>
              </w:rPr>
              <w:t xml:space="preserve">ели УИ, или не са достатъчно основателни. </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xml:space="preserve">Повечето от предложенията ми са свързани с избягване на механичната замяна навсякъде в текста на термина "сертификат за безопасност" (СБ) с "единен сертификат за безопасност" (ЕСБ) със следните мотиви (отбелязани в предложението ми по чл.7, ал.1, т.8 на ЗЖТ ):  </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СБ на ЖП ще продължат да се издават до крайният срок за транспониране на Директива 2016/798 от ДЧ на ЕС (т.е. до „съответната дата” на влизане в сила на Делегиран Регламент (ЕС) 2018/763 на ЕК от 09.04.2018 г. за определяне на технически разпоредби относно издаването на единен сертификат за безопасност - т.е. до 16.06.2019 или евентуално до 16.06.2020 г.);</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дотогава НОБ ще продължават да издават СБ (части А и Б), а изменянето или отнемането им дори и по-късно – до срока на тяхната валидност;</w:t>
            </w:r>
          </w:p>
          <w:p w:rsidR="00F31C82" w:rsidRPr="00F31C82"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 xml:space="preserve">- формата и съдържанието на СБ и ЕСБ са различни; </w:t>
            </w:r>
          </w:p>
          <w:p w:rsidR="00F31C82" w:rsidRPr="00F310B4" w:rsidRDefault="00F31C82" w:rsidP="00F31C82">
            <w:pPr>
              <w:tabs>
                <w:tab w:val="left" w:pos="328"/>
              </w:tabs>
              <w:rPr>
                <w:rFonts w:ascii="Times New Roman" w:hAnsi="Times New Roman" w:cs="Times New Roman"/>
                <w:bCs/>
                <w:sz w:val="24"/>
                <w:szCs w:val="24"/>
              </w:rPr>
            </w:pPr>
            <w:r w:rsidRPr="00F31C82">
              <w:rPr>
                <w:rFonts w:ascii="Times New Roman" w:hAnsi="Times New Roman" w:cs="Times New Roman"/>
                <w:bCs/>
                <w:sz w:val="24"/>
                <w:szCs w:val="24"/>
              </w:rPr>
              <w:t>Затова и дефиницията в т. 27 от ДР на ЗЖТ смятам, че до 15.06.2024 г. е коректно да продължи да се отнася за "сертификат за безопасност", като след нея се добави и "единен сертификат за безопасност" (посочената дата е крайната дата на валидност на всички СБ, издадени преди 16.06.2019 г., които дотогава хипотетично могат да бъдат акту</w:t>
            </w:r>
            <w:r w:rsidR="000E7E2A">
              <w:rPr>
                <w:rFonts w:ascii="Times New Roman" w:hAnsi="Times New Roman" w:cs="Times New Roman"/>
                <w:bCs/>
                <w:sz w:val="24"/>
                <w:szCs w:val="24"/>
              </w:rPr>
              <w:t xml:space="preserve">ализирани и изменяни от НОБ).  </w:t>
            </w:r>
          </w:p>
        </w:tc>
        <w:tc>
          <w:tcPr>
            <w:tcW w:w="1695" w:type="dxa"/>
          </w:tcPr>
          <w:p w:rsidR="00F31C82" w:rsidRPr="007457D4" w:rsidRDefault="00F87895" w:rsidP="00F87895">
            <w:pPr>
              <w:rPr>
                <w:rFonts w:ascii="Times New Roman" w:hAnsi="Times New Roman" w:cs="Times New Roman"/>
                <w:color w:val="FF0000"/>
                <w:sz w:val="24"/>
                <w:szCs w:val="24"/>
              </w:rPr>
            </w:pPr>
            <w:r>
              <w:rPr>
                <w:rFonts w:ascii="Times New Roman" w:hAnsi="Times New Roman" w:cs="Times New Roman"/>
                <w:sz w:val="24"/>
                <w:szCs w:val="24"/>
              </w:rPr>
              <w:t>Не се приема</w:t>
            </w:r>
          </w:p>
        </w:tc>
        <w:tc>
          <w:tcPr>
            <w:tcW w:w="4082" w:type="dxa"/>
          </w:tcPr>
          <w:p w:rsidR="00FE0CA4" w:rsidRPr="00706726" w:rsidRDefault="00FE0CA4" w:rsidP="00FE0CA4">
            <w:pPr>
              <w:rPr>
                <w:rFonts w:ascii="Times New Roman" w:hAnsi="Times New Roman" w:cs="Times New Roman"/>
                <w:iCs/>
                <w:sz w:val="24"/>
                <w:szCs w:val="24"/>
              </w:rPr>
            </w:pPr>
            <w:r w:rsidRPr="00706726">
              <w:rPr>
                <w:rFonts w:ascii="Times New Roman" w:hAnsi="Times New Roman" w:cs="Times New Roman"/>
                <w:iCs/>
                <w:sz w:val="24"/>
                <w:szCs w:val="24"/>
              </w:rPr>
              <w:t>Предложенията и забележките на г-н Калъчев са свързани с валидност на Сертификатите за безопасност на железопътните предприятия, издадени преди 16 юни 2019 година процедурите по издаване на сертификат за безопасност, започнали и недовършени до 16 юни 2019 г.</w:t>
            </w:r>
            <w:r w:rsidR="00706726" w:rsidRPr="00706726">
              <w:rPr>
                <w:rFonts w:ascii="Times New Roman" w:hAnsi="Times New Roman" w:cs="Times New Roman"/>
                <w:iCs/>
                <w:sz w:val="24"/>
                <w:szCs w:val="24"/>
              </w:rPr>
              <w:t xml:space="preserve"> и с прилагане на разпоредбите за единен сертификат. </w:t>
            </w:r>
            <w:r w:rsidRPr="00706726">
              <w:rPr>
                <w:rFonts w:ascii="Times New Roman" w:hAnsi="Times New Roman" w:cs="Times New Roman"/>
                <w:iCs/>
                <w:sz w:val="24"/>
                <w:szCs w:val="24"/>
              </w:rPr>
              <w:t xml:space="preserve">  </w:t>
            </w:r>
          </w:p>
          <w:p w:rsidR="00FE0CA4" w:rsidRPr="00706726" w:rsidRDefault="00FE0CA4" w:rsidP="00FE0CA4">
            <w:pPr>
              <w:rPr>
                <w:rFonts w:ascii="Times New Roman" w:hAnsi="Times New Roman" w:cs="Times New Roman"/>
                <w:iCs/>
                <w:sz w:val="24"/>
                <w:szCs w:val="24"/>
              </w:rPr>
            </w:pPr>
            <w:r w:rsidRPr="00706726">
              <w:rPr>
                <w:rFonts w:ascii="Times New Roman" w:hAnsi="Times New Roman" w:cs="Times New Roman"/>
                <w:iCs/>
                <w:sz w:val="24"/>
                <w:szCs w:val="24"/>
              </w:rPr>
              <w:t>В съответствие с член 31, параграф 2  от Директива (ЕС) 2016/798 в § 52 от Преходните и заключителни разпоредби на ЗИД на ЗЖТ се предвижда сертификатите за безопасност на железопътни предприятия, издадени от ИАЖА преди 16 юни 2019 г. да запазят действието си до изтичането на срока, за който са издадени. е въведено с. С цел защита на интересите на железопътните предприятия и на управителя на железопътната инфраструктура, с § 25 се предлага промяна в чл. 115ж, с която се дава възможност в случай на отказ за издаване на единен сертификат за безопасност или на удостоверение за безопасност, решението да може да бъде обжалвано от заявителите пред Административния съд София-град. В случай, че отказът е направен от АЖТЕС, заявителите могат да подават жалби и оспорват решенията пред Апелативния съвет, определен съгласно член 55 от Регламент (ЕС) 2016/796.</w:t>
            </w:r>
            <w:r w:rsidRPr="00706726">
              <w:rPr>
                <w:rFonts w:ascii="Times New Roman" w:hAnsi="Times New Roman" w:cs="Times New Roman"/>
                <w:iCs/>
                <w:sz w:val="24"/>
                <w:szCs w:val="24"/>
              </w:rPr>
              <w:tab/>
            </w:r>
          </w:p>
          <w:p w:rsidR="00F31C82" w:rsidRDefault="00FE0CA4" w:rsidP="00706726">
            <w:pPr>
              <w:rPr>
                <w:rFonts w:ascii="Times New Roman" w:hAnsi="Times New Roman" w:cs="Times New Roman"/>
                <w:iCs/>
                <w:sz w:val="24"/>
                <w:szCs w:val="24"/>
              </w:rPr>
            </w:pPr>
            <w:r w:rsidRPr="00706726">
              <w:rPr>
                <w:rFonts w:ascii="Times New Roman" w:hAnsi="Times New Roman" w:cs="Times New Roman"/>
                <w:iCs/>
                <w:sz w:val="24"/>
                <w:szCs w:val="24"/>
              </w:rPr>
              <w:lastRenderedPageBreak/>
              <w:t xml:space="preserve">С § 54, ал. 1 се определя редът на действие в случай, че процедура за издаване на сертификат за безопасност е започнала по досегашния ред, но не може да завърши преди 16 юни 2019 г. и сертификат за безопасност няма да бъде издаден  преди тази дата. В този случай се прилага член 15 от Регламент за изпълнение (ЕС) 2018/763 на Комисията от 9 април 2018 година за определяне на практически разпоредби относно издаването на единни сертификати за безопасност на железопътни предприятия съгласно Директива (ЕС) 2016/798 на Европейския парламент и на Съвета и за отмяна на Регламент (ЕО) № 653/2007 на Комисията (OB L 129/49  от 2018г.), като националният орган по безопасността трябва незабавно да информира заявителя и АЖТЕС и да извърши действията, предвидени в разпоредбата на регламента. </w:t>
            </w:r>
          </w:p>
          <w:p w:rsidR="00706726" w:rsidRPr="007457D4" w:rsidRDefault="00AD47FE" w:rsidP="00AD47FE">
            <w:pPr>
              <w:rPr>
                <w:rFonts w:ascii="Times New Roman" w:hAnsi="Times New Roman" w:cs="Times New Roman"/>
                <w:iCs/>
                <w:color w:val="FF0000"/>
                <w:sz w:val="24"/>
                <w:szCs w:val="24"/>
              </w:rPr>
            </w:pPr>
            <w:r>
              <w:rPr>
                <w:rFonts w:ascii="Times New Roman" w:hAnsi="Times New Roman" w:cs="Times New Roman"/>
                <w:iCs/>
                <w:sz w:val="24"/>
                <w:szCs w:val="24"/>
              </w:rPr>
              <w:t xml:space="preserve">След приемането си ЗИД на ЗЖТ ще влезе </w:t>
            </w:r>
            <w:r w:rsidRPr="00AD47FE">
              <w:rPr>
                <w:rFonts w:ascii="Times New Roman" w:hAnsi="Times New Roman" w:cs="Times New Roman"/>
                <w:iCs/>
                <w:sz w:val="24"/>
                <w:szCs w:val="24"/>
              </w:rPr>
              <w:t xml:space="preserve">в сила от деня на обнародването му в „Държавен вестник“ с изключение на § 8, т. 1 относно чл. 29, ал. 4, т. 7, § 9, т. 1, буква „б“ относно чл. 31, ал. 1, и т. 5, буква „б“ относно ал. 8, § 11, т. 1 относно чл. 33, ал. 1, § 12, т. 1 относно чл. 34, ал. 1 и т. 2, буква „а“ относно ал. 3, § 17, т. 1 относно чл. 50, ал. 1, т. 1, § 20, т. 6 относно чл. 115а, ал. 8, § 22, относно чл. 115г, § 23 относно чл. 115д, § 24 относно чл. </w:t>
            </w:r>
            <w:r w:rsidRPr="00AD47FE">
              <w:rPr>
                <w:rFonts w:ascii="Times New Roman" w:hAnsi="Times New Roman" w:cs="Times New Roman"/>
                <w:iCs/>
                <w:sz w:val="24"/>
                <w:szCs w:val="24"/>
              </w:rPr>
              <w:lastRenderedPageBreak/>
              <w:t>115е, § 25 относно чл. 115ж, § 26 относно чл. 115з, § 35, т. 1 относно чл. 128 и § 49, т. 7 относно § 1, т. 27, които се прилагат от 16 юни 2019 г.</w:t>
            </w:r>
          </w:p>
        </w:tc>
      </w:tr>
      <w:tr w:rsidR="00F22157" w:rsidRPr="000C4D15" w:rsidTr="00B112E6">
        <w:tc>
          <w:tcPr>
            <w:tcW w:w="2127" w:type="dxa"/>
          </w:tcPr>
          <w:p w:rsidR="00F22157" w:rsidRPr="008527BF" w:rsidRDefault="00F22157" w:rsidP="00E51A71">
            <w:pPr>
              <w:tabs>
                <w:tab w:val="left" w:pos="328"/>
              </w:tabs>
              <w:rPr>
                <w:rFonts w:ascii="Times New Roman" w:hAnsi="Times New Roman" w:cs="Times New Roman"/>
                <w:bCs/>
                <w:sz w:val="24"/>
                <w:szCs w:val="24"/>
              </w:rPr>
            </w:pPr>
            <w:r w:rsidRPr="008527BF">
              <w:rPr>
                <w:rFonts w:ascii="Times New Roman" w:hAnsi="Times New Roman" w:cs="Times New Roman"/>
                <w:bCs/>
                <w:sz w:val="24"/>
                <w:szCs w:val="24"/>
              </w:rPr>
              <w:lastRenderedPageBreak/>
              <w:t>ИАЖА</w:t>
            </w:r>
          </w:p>
        </w:tc>
        <w:tc>
          <w:tcPr>
            <w:tcW w:w="7230" w:type="dxa"/>
          </w:tcPr>
          <w:p w:rsidR="00F22157" w:rsidRPr="008527BF" w:rsidRDefault="00F22157" w:rsidP="00E51A71">
            <w:pPr>
              <w:tabs>
                <w:tab w:val="left" w:pos="328"/>
              </w:tabs>
              <w:rPr>
                <w:rFonts w:ascii="Times New Roman" w:hAnsi="Times New Roman" w:cs="Times New Roman"/>
                <w:b/>
                <w:bCs/>
                <w:sz w:val="24"/>
                <w:szCs w:val="24"/>
              </w:rPr>
            </w:pPr>
            <w:r w:rsidRPr="008527BF">
              <w:rPr>
                <w:rFonts w:ascii="Times New Roman" w:hAnsi="Times New Roman" w:cs="Times New Roman"/>
                <w:b/>
                <w:bCs/>
                <w:sz w:val="24"/>
                <w:szCs w:val="24"/>
              </w:rPr>
              <w:t>Да се промени § 53 от Преходните и заключителни разпоредби на ЗИД на ЗЖТ и да стане:</w:t>
            </w:r>
          </w:p>
          <w:p w:rsidR="00F22157" w:rsidRPr="008527BF" w:rsidRDefault="00F22157" w:rsidP="00E51A71">
            <w:pPr>
              <w:ind w:firstLine="567"/>
              <w:rPr>
                <w:rFonts w:ascii="Times New Roman" w:eastAsia="Times New Roman" w:hAnsi="Times New Roman" w:cs="Times New Roman"/>
                <w:sz w:val="24"/>
                <w:szCs w:val="24"/>
              </w:rPr>
            </w:pPr>
            <w:r w:rsidRPr="008527BF">
              <w:rPr>
                <w:rFonts w:ascii="Times New Roman" w:eastAsia="Times New Roman" w:hAnsi="Times New Roman" w:cs="Times New Roman"/>
                <w:b/>
                <w:sz w:val="24"/>
                <w:szCs w:val="24"/>
              </w:rPr>
              <w:t xml:space="preserve">§ 53. </w:t>
            </w:r>
            <w:r w:rsidRPr="008527BF">
              <w:rPr>
                <w:rFonts w:ascii="Times New Roman" w:eastAsia="Times New Roman" w:hAnsi="Times New Roman" w:cs="Times New Roman"/>
                <w:sz w:val="24"/>
                <w:szCs w:val="24"/>
              </w:rPr>
              <w:t>(1) Разрешения за въвеждане в експлоатация на превозни средства, издадени преди 16 юни 2019 г., включително разрешения, предоставени съгласно международни споразумения RIC (Regolamento Internazionale Carrozze) и RIV (Regolamento Internazionale Veicoli), остават в сила съобразно условията, при които са издадени.</w:t>
            </w:r>
          </w:p>
          <w:p w:rsidR="00F22157" w:rsidRPr="008527BF" w:rsidRDefault="00F22157" w:rsidP="00AA1C0A">
            <w:pPr>
              <w:ind w:firstLine="567"/>
              <w:rPr>
                <w:rFonts w:ascii="Times New Roman" w:eastAsia="Times New Roman" w:hAnsi="Times New Roman" w:cs="Times New Roman"/>
                <w:sz w:val="24"/>
                <w:szCs w:val="24"/>
              </w:rPr>
            </w:pPr>
            <w:r w:rsidRPr="008527BF">
              <w:rPr>
                <w:rFonts w:ascii="Times New Roman" w:eastAsia="Times New Roman" w:hAnsi="Times New Roman" w:cs="Times New Roman"/>
                <w:sz w:val="24"/>
                <w:szCs w:val="24"/>
              </w:rPr>
              <w:t>(2) Превозни средства, за които са били издадени разрешения за въвеждане в експлоатация преди 16 юни 2019 г., получават ново разрешение за пускане на пазара на превозно средство, за да бъдат експлоатирани след тази дата в една или повече мрежи, които все още не са обхванати от тяхното разрешение.</w:t>
            </w:r>
          </w:p>
        </w:tc>
        <w:tc>
          <w:tcPr>
            <w:tcW w:w="1695" w:type="dxa"/>
          </w:tcPr>
          <w:p w:rsidR="00F22157" w:rsidRPr="000E7E2A" w:rsidRDefault="00F22157" w:rsidP="00D50163">
            <w:pPr>
              <w:rPr>
                <w:rFonts w:ascii="Times New Roman" w:hAnsi="Times New Roman" w:cs="Times New Roman"/>
                <w:sz w:val="24"/>
                <w:szCs w:val="24"/>
              </w:rPr>
            </w:pPr>
            <w:r>
              <w:rPr>
                <w:rFonts w:ascii="Times New Roman" w:hAnsi="Times New Roman" w:cs="Times New Roman"/>
                <w:sz w:val="24"/>
                <w:szCs w:val="24"/>
              </w:rPr>
              <w:t>Приема се</w:t>
            </w:r>
          </w:p>
        </w:tc>
        <w:tc>
          <w:tcPr>
            <w:tcW w:w="4082" w:type="dxa"/>
          </w:tcPr>
          <w:p w:rsidR="00F22157" w:rsidRPr="00706726" w:rsidRDefault="00AA1C0A" w:rsidP="00FE0CA4">
            <w:pPr>
              <w:rPr>
                <w:rFonts w:ascii="Times New Roman" w:hAnsi="Times New Roman" w:cs="Times New Roman"/>
                <w:iCs/>
                <w:sz w:val="24"/>
                <w:szCs w:val="24"/>
              </w:rPr>
            </w:pPr>
            <w:r w:rsidRPr="008527BF">
              <w:rPr>
                <w:rFonts w:ascii="Times New Roman" w:eastAsia="Times New Roman" w:hAnsi="Times New Roman" w:cs="Times New Roman"/>
                <w:sz w:val="24"/>
                <w:szCs w:val="24"/>
              </w:rPr>
              <w:t xml:space="preserve">Предлаганият текст е в съответствие с </w:t>
            </w:r>
            <w:r w:rsidRPr="008527BF">
              <w:rPr>
                <w:rFonts w:ascii="Times New Roman" w:eastAsia="Times New Roman" w:hAnsi="Times New Roman" w:cs="Times New Roman"/>
                <w:i/>
                <w:iCs/>
                <w:sz w:val="24"/>
                <w:szCs w:val="24"/>
              </w:rPr>
              <w:t xml:space="preserve">Член 54, </w:t>
            </w:r>
            <w:r w:rsidRPr="008527BF">
              <w:rPr>
                <w:rFonts w:ascii="Times New Roman" w:eastAsia="Times New Roman" w:hAnsi="Times New Roman" w:cs="Times New Roman"/>
                <w:sz w:val="24"/>
                <w:szCs w:val="24"/>
              </w:rPr>
              <w:t>параграфи 2 и 3 от Директива  (ЕС) 2016/797 на европейския парламент и на Съвета от 11 май 2016 година относно оперативната съвместимост на железопътната система в рамките на Европейския съюз</w:t>
            </w:r>
          </w:p>
        </w:tc>
      </w:tr>
      <w:tr w:rsidR="00F22157" w:rsidRPr="000C4D15" w:rsidTr="00B112E6">
        <w:tc>
          <w:tcPr>
            <w:tcW w:w="2127" w:type="dxa"/>
          </w:tcPr>
          <w:p w:rsidR="00F22157" w:rsidRPr="008527BF" w:rsidRDefault="00F22157" w:rsidP="00E51A71">
            <w:pPr>
              <w:tabs>
                <w:tab w:val="left" w:pos="328"/>
              </w:tabs>
              <w:rPr>
                <w:rFonts w:ascii="Times New Roman" w:hAnsi="Times New Roman" w:cs="Times New Roman"/>
                <w:bCs/>
                <w:sz w:val="24"/>
                <w:szCs w:val="24"/>
              </w:rPr>
            </w:pPr>
            <w:r w:rsidRPr="008527BF">
              <w:rPr>
                <w:rFonts w:ascii="Times New Roman" w:hAnsi="Times New Roman" w:cs="Times New Roman"/>
                <w:bCs/>
                <w:sz w:val="24"/>
                <w:szCs w:val="24"/>
              </w:rPr>
              <w:t>ИАЖА</w:t>
            </w:r>
          </w:p>
        </w:tc>
        <w:tc>
          <w:tcPr>
            <w:tcW w:w="7230" w:type="dxa"/>
          </w:tcPr>
          <w:p w:rsidR="00F22157" w:rsidRPr="00B112E6" w:rsidRDefault="00F22157" w:rsidP="00E51A71">
            <w:pPr>
              <w:tabs>
                <w:tab w:val="left" w:pos="328"/>
              </w:tabs>
              <w:rPr>
                <w:rFonts w:ascii="Times New Roman" w:hAnsi="Times New Roman" w:cs="Times New Roman"/>
                <w:b/>
                <w:sz w:val="24"/>
                <w:szCs w:val="24"/>
              </w:rPr>
            </w:pPr>
            <w:r w:rsidRPr="00B112E6">
              <w:rPr>
                <w:rFonts w:ascii="Times New Roman" w:hAnsi="Times New Roman" w:cs="Times New Roman"/>
                <w:b/>
                <w:sz w:val="24"/>
                <w:szCs w:val="24"/>
              </w:rPr>
              <w:t>Да се създаде § 54 от Преходните и заключителните разпоредби на ЗИД на ЗЖТ:</w:t>
            </w:r>
          </w:p>
          <w:p w:rsidR="00F22157" w:rsidRPr="00B112E6" w:rsidRDefault="00F22157" w:rsidP="00E51A71">
            <w:pPr>
              <w:rPr>
                <w:rFonts w:ascii="Times New Roman" w:eastAsia="Times New Roman" w:hAnsi="Times New Roman" w:cs="Times New Roman"/>
                <w:sz w:val="24"/>
                <w:szCs w:val="24"/>
              </w:rPr>
            </w:pPr>
            <w:r w:rsidRPr="00B112E6">
              <w:rPr>
                <w:rFonts w:ascii="Times New Roman" w:eastAsia="Times New Roman" w:hAnsi="Times New Roman" w:cs="Times New Roman"/>
                <w:b/>
                <w:sz w:val="24"/>
                <w:szCs w:val="24"/>
              </w:rPr>
              <w:t xml:space="preserve">§ 54. </w:t>
            </w:r>
            <w:r w:rsidRPr="00B112E6">
              <w:rPr>
                <w:rFonts w:ascii="Times New Roman" w:eastAsia="Times New Roman" w:hAnsi="Times New Roman" w:cs="Times New Roman"/>
                <w:sz w:val="24"/>
                <w:szCs w:val="24"/>
              </w:rPr>
              <w:t>(1) Започналите и недовършени до 16 юни 2019 г. процедури по издаване на сертификат за безопасност се довършват по реда, определен в член 15 на Регламент за изпълнение (ЕС) 2018/763 на Комисията от 9 април 2018 година за определяне на практически разпоредби относно издаването на единни сертификати за безопасност на железопътни предприятия съгласно Директива (ЕС) 2016/798 на Европейския парламент и на Съвета и за отмяна на Регламент (ЕО) № 653/2007 на Комисията (OB L 129/49  от 2018г.).</w:t>
            </w:r>
          </w:p>
          <w:p w:rsidR="00F22157" w:rsidRPr="00B112E6" w:rsidRDefault="00F22157" w:rsidP="00AA1C0A">
            <w:pPr>
              <w:ind w:firstLine="567"/>
              <w:rPr>
                <w:rFonts w:ascii="Times New Roman" w:eastAsia="Times New Roman" w:hAnsi="Times New Roman" w:cs="Times New Roman"/>
                <w:sz w:val="24"/>
                <w:szCs w:val="24"/>
              </w:rPr>
            </w:pPr>
            <w:r w:rsidRPr="00B112E6">
              <w:rPr>
                <w:rFonts w:ascii="Times New Roman" w:eastAsia="Times New Roman" w:hAnsi="Times New Roman" w:cs="Times New Roman"/>
                <w:sz w:val="24"/>
                <w:szCs w:val="24"/>
              </w:rPr>
              <w:t>(2) Започналите и недовършени до 16 юни 2019 г. процедури по издаване на разрешения за въвеждане в експлоатация на превозни средства се довършват по реда, определен в член 55 на Регламент за изпълнение (ЕС) 2018/545 на Комисията от 4 април 2018 година за определяне на практически разпоредби относно процеса на разрешаване на железопътни возила и на типове железопътни возила в съответствие с Директива (ЕС) 2016/797 на Европейския парламент и на Съвета (OB L 90/66  от 2018г.).</w:t>
            </w:r>
          </w:p>
        </w:tc>
        <w:tc>
          <w:tcPr>
            <w:tcW w:w="1695" w:type="dxa"/>
          </w:tcPr>
          <w:p w:rsidR="00F22157" w:rsidRPr="000E7E2A" w:rsidRDefault="00F22157" w:rsidP="00D50163">
            <w:pPr>
              <w:rPr>
                <w:rFonts w:ascii="Times New Roman" w:hAnsi="Times New Roman" w:cs="Times New Roman"/>
                <w:sz w:val="24"/>
                <w:szCs w:val="24"/>
              </w:rPr>
            </w:pPr>
            <w:r>
              <w:rPr>
                <w:rFonts w:ascii="Times New Roman" w:hAnsi="Times New Roman" w:cs="Times New Roman"/>
                <w:sz w:val="24"/>
                <w:szCs w:val="24"/>
              </w:rPr>
              <w:t>Приема  се</w:t>
            </w:r>
          </w:p>
        </w:tc>
        <w:tc>
          <w:tcPr>
            <w:tcW w:w="4082" w:type="dxa"/>
          </w:tcPr>
          <w:p w:rsidR="00F22157" w:rsidRPr="00706726" w:rsidRDefault="00BF37F6" w:rsidP="00BF37F6">
            <w:pPr>
              <w:rPr>
                <w:rFonts w:ascii="Times New Roman" w:hAnsi="Times New Roman" w:cs="Times New Roman"/>
                <w:iCs/>
                <w:sz w:val="24"/>
                <w:szCs w:val="24"/>
              </w:rPr>
            </w:pPr>
            <w:r>
              <w:rPr>
                <w:rFonts w:ascii="Times New Roman" w:hAnsi="Times New Roman" w:cs="Times New Roman"/>
                <w:bCs/>
                <w:sz w:val="24"/>
                <w:szCs w:val="24"/>
              </w:rPr>
              <w:t>О</w:t>
            </w:r>
            <w:r w:rsidR="00AA1C0A" w:rsidRPr="008527BF">
              <w:rPr>
                <w:rFonts w:ascii="Times New Roman" w:hAnsi="Times New Roman" w:cs="Times New Roman"/>
                <w:bCs/>
                <w:sz w:val="24"/>
                <w:szCs w:val="24"/>
              </w:rPr>
              <w:t xml:space="preserve">тносно започналите и недовършени до 16 юни 2019 г. процедури </w:t>
            </w:r>
            <w:r>
              <w:rPr>
                <w:rFonts w:ascii="Times New Roman" w:hAnsi="Times New Roman" w:cs="Times New Roman"/>
                <w:bCs/>
                <w:sz w:val="24"/>
                <w:szCs w:val="24"/>
              </w:rPr>
              <w:t xml:space="preserve">се прилагат  </w:t>
            </w:r>
            <w:r w:rsidR="00AA1C0A" w:rsidRPr="008527BF">
              <w:rPr>
                <w:rFonts w:ascii="Times New Roman" w:hAnsi="Times New Roman" w:cs="Times New Roman"/>
                <w:bCs/>
                <w:sz w:val="24"/>
                <w:szCs w:val="24"/>
              </w:rPr>
              <w:t>Регламент за изпълнение (ЕС) 2018/763 и с Регламент за изпълнение (ЕС) 2018/545</w:t>
            </w:r>
            <w:r>
              <w:rPr>
                <w:rFonts w:ascii="Times New Roman" w:hAnsi="Times New Roman" w:cs="Times New Roman"/>
                <w:bCs/>
                <w:sz w:val="24"/>
                <w:szCs w:val="24"/>
              </w:rPr>
              <w:t>.</w:t>
            </w:r>
          </w:p>
        </w:tc>
      </w:tr>
    </w:tbl>
    <w:p w:rsidR="00AD47FE" w:rsidRDefault="00AD47FE" w:rsidP="00517E79">
      <w:pPr>
        <w:rPr>
          <w:rFonts w:ascii="Times New Roman" w:hAnsi="Times New Roman" w:cs="Times New Roman"/>
          <w:b/>
          <w:sz w:val="24"/>
          <w:szCs w:val="24"/>
        </w:rPr>
      </w:pPr>
    </w:p>
    <w:sectPr w:rsidR="00AD47FE" w:rsidSect="00F864C7">
      <w:pgSz w:w="16838" w:h="11906" w:orient="landscape"/>
      <w:pgMar w:top="709" w:right="395" w:bottom="42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446"/>
    <w:multiLevelType w:val="hybridMultilevel"/>
    <w:tmpl w:val="AEF470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43E339D"/>
    <w:multiLevelType w:val="hybridMultilevel"/>
    <w:tmpl w:val="15B8AE5A"/>
    <w:lvl w:ilvl="0" w:tplc="04720C6E">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B966E18"/>
    <w:multiLevelType w:val="hybridMultilevel"/>
    <w:tmpl w:val="B99E89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F912094"/>
    <w:multiLevelType w:val="hybridMultilevel"/>
    <w:tmpl w:val="84CAD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E005710"/>
    <w:multiLevelType w:val="hybridMultilevel"/>
    <w:tmpl w:val="98E060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3F"/>
    <w:rsid w:val="00021E5D"/>
    <w:rsid w:val="00034F36"/>
    <w:rsid w:val="00046952"/>
    <w:rsid w:val="00061018"/>
    <w:rsid w:val="000A11E7"/>
    <w:rsid w:val="000A5A08"/>
    <w:rsid w:val="000B0772"/>
    <w:rsid w:val="000C4D15"/>
    <w:rsid w:val="000D3655"/>
    <w:rsid w:val="000D58CE"/>
    <w:rsid w:val="000E1663"/>
    <w:rsid w:val="000E7E2A"/>
    <w:rsid w:val="00102A5F"/>
    <w:rsid w:val="001050A1"/>
    <w:rsid w:val="001273F5"/>
    <w:rsid w:val="00130987"/>
    <w:rsid w:val="0017075E"/>
    <w:rsid w:val="0017620E"/>
    <w:rsid w:val="00180976"/>
    <w:rsid w:val="001C3AD0"/>
    <w:rsid w:val="001C56EC"/>
    <w:rsid w:val="001D75A5"/>
    <w:rsid w:val="001F263D"/>
    <w:rsid w:val="002018A2"/>
    <w:rsid w:val="002179FF"/>
    <w:rsid w:val="00222E65"/>
    <w:rsid w:val="002443C9"/>
    <w:rsid w:val="0025598A"/>
    <w:rsid w:val="002915C9"/>
    <w:rsid w:val="00303AE7"/>
    <w:rsid w:val="00333C79"/>
    <w:rsid w:val="00346B93"/>
    <w:rsid w:val="00376D5B"/>
    <w:rsid w:val="003A1610"/>
    <w:rsid w:val="003B2289"/>
    <w:rsid w:val="003B5AC1"/>
    <w:rsid w:val="003B6681"/>
    <w:rsid w:val="003D2FB0"/>
    <w:rsid w:val="00433B1D"/>
    <w:rsid w:val="0048334C"/>
    <w:rsid w:val="00492D18"/>
    <w:rsid w:val="004A719E"/>
    <w:rsid w:val="004D4843"/>
    <w:rsid w:val="005011D6"/>
    <w:rsid w:val="00507EF1"/>
    <w:rsid w:val="0051486A"/>
    <w:rsid w:val="00517E79"/>
    <w:rsid w:val="00532B91"/>
    <w:rsid w:val="005754A8"/>
    <w:rsid w:val="00584916"/>
    <w:rsid w:val="005A0EA4"/>
    <w:rsid w:val="005C174D"/>
    <w:rsid w:val="005D2F83"/>
    <w:rsid w:val="00603215"/>
    <w:rsid w:val="006600A3"/>
    <w:rsid w:val="006672AF"/>
    <w:rsid w:val="00671DF1"/>
    <w:rsid w:val="00672177"/>
    <w:rsid w:val="00680EAB"/>
    <w:rsid w:val="006A5BE7"/>
    <w:rsid w:val="006A6B5F"/>
    <w:rsid w:val="006D635D"/>
    <w:rsid w:val="006E7596"/>
    <w:rsid w:val="007004DC"/>
    <w:rsid w:val="00705DD6"/>
    <w:rsid w:val="00706726"/>
    <w:rsid w:val="00741E62"/>
    <w:rsid w:val="00743500"/>
    <w:rsid w:val="00743543"/>
    <w:rsid w:val="007457D4"/>
    <w:rsid w:val="00746AFC"/>
    <w:rsid w:val="00752B32"/>
    <w:rsid w:val="0077365D"/>
    <w:rsid w:val="00775332"/>
    <w:rsid w:val="007C05B6"/>
    <w:rsid w:val="007E53FA"/>
    <w:rsid w:val="007F2707"/>
    <w:rsid w:val="00867078"/>
    <w:rsid w:val="00882634"/>
    <w:rsid w:val="00893CE6"/>
    <w:rsid w:val="0089483F"/>
    <w:rsid w:val="008B2860"/>
    <w:rsid w:val="008C2857"/>
    <w:rsid w:val="008D5D6C"/>
    <w:rsid w:val="008F5766"/>
    <w:rsid w:val="00985E43"/>
    <w:rsid w:val="0099525A"/>
    <w:rsid w:val="009C1CA0"/>
    <w:rsid w:val="009D3AA5"/>
    <w:rsid w:val="00A5261A"/>
    <w:rsid w:val="00A56E7B"/>
    <w:rsid w:val="00A652CC"/>
    <w:rsid w:val="00A753D9"/>
    <w:rsid w:val="00A92EA4"/>
    <w:rsid w:val="00AA1C0A"/>
    <w:rsid w:val="00AB1220"/>
    <w:rsid w:val="00AC5A91"/>
    <w:rsid w:val="00AD40DB"/>
    <w:rsid w:val="00AD47FE"/>
    <w:rsid w:val="00B10823"/>
    <w:rsid w:val="00B112E6"/>
    <w:rsid w:val="00B36F92"/>
    <w:rsid w:val="00B4747E"/>
    <w:rsid w:val="00B5401C"/>
    <w:rsid w:val="00B83905"/>
    <w:rsid w:val="00B865C2"/>
    <w:rsid w:val="00BA279F"/>
    <w:rsid w:val="00BB26BC"/>
    <w:rsid w:val="00BC1192"/>
    <w:rsid w:val="00BF0914"/>
    <w:rsid w:val="00BF30AE"/>
    <w:rsid w:val="00BF37F6"/>
    <w:rsid w:val="00C15DDD"/>
    <w:rsid w:val="00C540D0"/>
    <w:rsid w:val="00C736BE"/>
    <w:rsid w:val="00C76287"/>
    <w:rsid w:val="00CA3B86"/>
    <w:rsid w:val="00CA7139"/>
    <w:rsid w:val="00CB4B3C"/>
    <w:rsid w:val="00CB5EED"/>
    <w:rsid w:val="00D23A52"/>
    <w:rsid w:val="00D23FD2"/>
    <w:rsid w:val="00D50163"/>
    <w:rsid w:val="00D56151"/>
    <w:rsid w:val="00D64B93"/>
    <w:rsid w:val="00D66E2F"/>
    <w:rsid w:val="00D72B85"/>
    <w:rsid w:val="00D75892"/>
    <w:rsid w:val="00D943E8"/>
    <w:rsid w:val="00DA6DDA"/>
    <w:rsid w:val="00DB05A6"/>
    <w:rsid w:val="00DD1894"/>
    <w:rsid w:val="00DF369F"/>
    <w:rsid w:val="00E13B16"/>
    <w:rsid w:val="00E23B93"/>
    <w:rsid w:val="00E34216"/>
    <w:rsid w:val="00E82074"/>
    <w:rsid w:val="00E86F9B"/>
    <w:rsid w:val="00E92E12"/>
    <w:rsid w:val="00EA14E6"/>
    <w:rsid w:val="00EA349A"/>
    <w:rsid w:val="00EE157D"/>
    <w:rsid w:val="00EE2C8C"/>
    <w:rsid w:val="00EE5F2F"/>
    <w:rsid w:val="00EF6190"/>
    <w:rsid w:val="00F17AC5"/>
    <w:rsid w:val="00F214A6"/>
    <w:rsid w:val="00F22157"/>
    <w:rsid w:val="00F310B4"/>
    <w:rsid w:val="00F31C82"/>
    <w:rsid w:val="00F3443A"/>
    <w:rsid w:val="00F35F2C"/>
    <w:rsid w:val="00F41008"/>
    <w:rsid w:val="00F453A8"/>
    <w:rsid w:val="00F62142"/>
    <w:rsid w:val="00F8258F"/>
    <w:rsid w:val="00F864C7"/>
    <w:rsid w:val="00F87895"/>
    <w:rsid w:val="00F920A8"/>
    <w:rsid w:val="00F97DAA"/>
    <w:rsid w:val="00FB3719"/>
    <w:rsid w:val="00FD7256"/>
    <w:rsid w:val="00FE0CA4"/>
    <w:rsid w:val="00FF488C"/>
    <w:rsid w:val="00FF5C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98A"/>
    <w:rPr>
      <w:sz w:val="16"/>
      <w:szCs w:val="16"/>
    </w:rPr>
  </w:style>
  <w:style w:type="paragraph" w:styleId="CommentText">
    <w:name w:val="annotation text"/>
    <w:basedOn w:val="Normal"/>
    <w:link w:val="CommentTextChar"/>
    <w:uiPriority w:val="99"/>
    <w:semiHidden/>
    <w:unhideWhenUsed/>
    <w:rsid w:val="0025598A"/>
    <w:pPr>
      <w:spacing w:after="200"/>
      <w:jc w:val="left"/>
    </w:pPr>
    <w:rPr>
      <w:sz w:val="20"/>
      <w:szCs w:val="20"/>
    </w:rPr>
  </w:style>
  <w:style w:type="character" w:customStyle="1" w:styleId="CommentTextChar">
    <w:name w:val="Comment Text Char"/>
    <w:basedOn w:val="DefaultParagraphFont"/>
    <w:link w:val="CommentText"/>
    <w:uiPriority w:val="99"/>
    <w:semiHidden/>
    <w:rsid w:val="0025598A"/>
    <w:rPr>
      <w:sz w:val="20"/>
      <w:szCs w:val="20"/>
    </w:rPr>
  </w:style>
  <w:style w:type="paragraph" w:styleId="BalloonText">
    <w:name w:val="Balloon Text"/>
    <w:basedOn w:val="Normal"/>
    <w:link w:val="BalloonTextChar"/>
    <w:uiPriority w:val="99"/>
    <w:semiHidden/>
    <w:unhideWhenUsed/>
    <w:rsid w:val="0025598A"/>
    <w:rPr>
      <w:rFonts w:ascii="Tahoma" w:hAnsi="Tahoma" w:cs="Tahoma"/>
      <w:sz w:val="16"/>
      <w:szCs w:val="16"/>
    </w:rPr>
  </w:style>
  <w:style w:type="character" w:customStyle="1" w:styleId="BalloonTextChar">
    <w:name w:val="Balloon Text Char"/>
    <w:basedOn w:val="DefaultParagraphFont"/>
    <w:link w:val="BalloonText"/>
    <w:uiPriority w:val="99"/>
    <w:semiHidden/>
    <w:rsid w:val="0025598A"/>
    <w:rPr>
      <w:rFonts w:ascii="Tahoma" w:hAnsi="Tahoma" w:cs="Tahoma"/>
      <w:sz w:val="16"/>
      <w:szCs w:val="16"/>
    </w:rPr>
  </w:style>
  <w:style w:type="paragraph" w:styleId="ListParagraph">
    <w:name w:val="List Paragraph"/>
    <w:basedOn w:val="Normal"/>
    <w:uiPriority w:val="34"/>
    <w:qFormat/>
    <w:rsid w:val="00CA3B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98A"/>
    <w:rPr>
      <w:sz w:val="16"/>
      <w:szCs w:val="16"/>
    </w:rPr>
  </w:style>
  <w:style w:type="paragraph" w:styleId="CommentText">
    <w:name w:val="annotation text"/>
    <w:basedOn w:val="Normal"/>
    <w:link w:val="CommentTextChar"/>
    <w:uiPriority w:val="99"/>
    <w:semiHidden/>
    <w:unhideWhenUsed/>
    <w:rsid w:val="0025598A"/>
    <w:pPr>
      <w:spacing w:after="200"/>
      <w:jc w:val="left"/>
    </w:pPr>
    <w:rPr>
      <w:sz w:val="20"/>
      <w:szCs w:val="20"/>
    </w:rPr>
  </w:style>
  <w:style w:type="character" w:customStyle="1" w:styleId="CommentTextChar">
    <w:name w:val="Comment Text Char"/>
    <w:basedOn w:val="DefaultParagraphFont"/>
    <w:link w:val="CommentText"/>
    <w:uiPriority w:val="99"/>
    <w:semiHidden/>
    <w:rsid w:val="0025598A"/>
    <w:rPr>
      <w:sz w:val="20"/>
      <w:szCs w:val="20"/>
    </w:rPr>
  </w:style>
  <w:style w:type="paragraph" w:styleId="BalloonText">
    <w:name w:val="Balloon Text"/>
    <w:basedOn w:val="Normal"/>
    <w:link w:val="BalloonTextChar"/>
    <w:uiPriority w:val="99"/>
    <w:semiHidden/>
    <w:unhideWhenUsed/>
    <w:rsid w:val="0025598A"/>
    <w:rPr>
      <w:rFonts w:ascii="Tahoma" w:hAnsi="Tahoma" w:cs="Tahoma"/>
      <w:sz w:val="16"/>
      <w:szCs w:val="16"/>
    </w:rPr>
  </w:style>
  <w:style w:type="character" w:customStyle="1" w:styleId="BalloonTextChar">
    <w:name w:val="Balloon Text Char"/>
    <w:basedOn w:val="DefaultParagraphFont"/>
    <w:link w:val="BalloonText"/>
    <w:uiPriority w:val="99"/>
    <w:semiHidden/>
    <w:rsid w:val="0025598A"/>
    <w:rPr>
      <w:rFonts w:ascii="Tahoma" w:hAnsi="Tahoma" w:cs="Tahoma"/>
      <w:sz w:val="16"/>
      <w:szCs w:val="16"/>
    </w:rPr>
  </w:style>
  <w:style w:type="paragraph" w:styleId="ListParagraph">
    <w:name w:val="List Paragraph"/>
    <w:basedOn w:val="Normal"/>
    <w:uiPriority w:val="34"/>
    <w:qFormat/>
    <w:rsid w:val="00CA3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3171">
      <w:bodyDiv w:val="1"/>
      <w:marLeft w:val="0"/>
      <w:marRight w:val="0"/>
      <w:marTop w:val="0"/>
      <w:marBottom w:val="0"/>
      <w:divBdr>
        <w:top w:val="none" w:sz="0" w:space="0" w:color="auto"/>
        <w:left w:val="none" w:sz="0" w:space="0" w:color="auto"/>
        <w:bottom w:val="none" w:sz="0" w:space="0" w:color="auto"/>
        <w:right w:val="none" w:sz="0" w:space="0" w:color="auto"/>
      </w:divBdr>
    </w:div>
    <w:div w:id="1560286955">
      <w:bodyDiv w:val="1"/>
      <w:marLeft w:val="0"/>
      <w:marRight w:val="0"/>
      <w:marTop w:val="0"/>
      <w:marBottom w:val="0"/>
      <w:divBdr>
        <w:top w:val="none" w:sz="0" w:space="0" w:color="auto"/>
        <w:left w:val="none" w:sz="0" w:space="0" w:color="auto"/>
        <w:bottom w:val="none" w:sz="0" w:space="0" w:color="auto"/>
        <w:right w:val="none" w:sz="0" w:space="0" w:color="auto"/>
      </w:divBdr>
      <w:divsChild>
        <w:div w:id="1200629148">
          <w:marLeft w:val="0"/>
          <w:marRight w:val="0"/>
          <w:marTop w:val="0"/>
          <w:marBottom w:val="0"/>
          <w:divBdr>
            <w:top w:val="none" w:sz="0" w:space="0" w:color="auto"/>
            <w:left w:val="none" w:sz="0" w:space="0" w:color="auto"/>
            <w:bottom w:val="none" w:sz="0" w:space="0" w:color="auto"/>
            <w:right w:val="none" w:sz="0" w:space="0" w:color="auto"/>
          </w:divBdr>
          <w:divsChild>
            <w:div w:id="1431076758">
              <w:marLeft w:val="300"/>
              <w:marRight w:val="300"/>
              <w:marTop w:val="0"/>
              <w:marBottom w:val="0"/>
              <w:divBdr>
                <w:top w:val="none" w:sz="0" w:space="0" w:color="auto"/>
                <w:left w:val="none" w:sz="0" w:space="0" w:color="auto"/>
                <w:bottom w:val="none" w:sz="0" w:space="0" w:color="auto"/>
                <w:right w:val="none" w:sz="0" w:space="0" w:color="auto"/>
              </w:divBdr>
              <w:divsChild>
                <w:div w:id="45767352">
                  <w:marLeft w:val="0"/>
                  <w:marRight w:val="0"/>
                  <w:marTop w:val="0"/>
                  <w:marBottom w:val="0"/>
                  <w:divBdr>
                    <w:top w:val="none" w:sz="0" w:space="0" w:color="auto"/>
                    <w:left w:val="none" w:sz="0" w:space="0" w:color="auto"/>
                    <w:bottom w:val="none" w:sz="0" w:space="0" w:color="auto"/>
                    <w:right w:val="none" w:sz="0" w:space="0" w:color="auto"/>
                  </w:divBdr>
                  <w:divsChild>
                    <w:div w:id="1683314517">
                      <w:marLeft w:val="0"/>
                      <w:marRight w:val="0"/>
                      <w:marTop w:val="0"/>
                      <w:marBottom w:val="0"/>
                      <w:divBdr>
                        <w:top w:val="none" w:sz="0" w:space="0" w:color="auto"/>
                        <w:left w:val="none" w:sz="0" w:space="0" w:color="auto"/>
                        <w:bottom w:val="none" w:sz="0" w:space="0" w:color="auto"/>
                        <w:right w:val="none" w:sz="0" w:space="0" w:color="auto"/>
                      </w:divBdr>
                      <w:divsChild>
                        <w:div w:id="1333995525">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1964536987">
      <w:bodyDiv w:val="1"/>
      <w:marLeft w:val="0"/>
      <w:marRight w:val="0"/>
      <w:marTop w:val="0"/>
      <w:marBottom w:val="0"/>
      <w:divBdr>
        <w:top w:val="none" w:sz="0" w:space="0" w:color="auto"/>
        <w:left w:val="none" w:sz="0" w:space="0" w:color="auto"/>
        <w:bottom w:val="none" w:sz="0" w:space="0" w:color="auto"/>
        <w:right w:val="none" w:sz="0" w:space="0" w:color="auto"/>
      </w:divBdr>
      <w:divsChild>
        <w:div w:id="593633879">
          <w:marLeft w:val="0"/>
          <w:marRight w:val="0"/>
          <w:marTop w:val="0"/>
          <w:marBottom w:val="0"/>
          <w:divBdr>
            <w:top w:val="none" w:sz="0" w:space="0" w:color="auto"/>
            <w:left w:val="none" w:sz="0" w:space="0" w:color="auto"/>
            <w:bottom w:val="none" w:sz="0" w:space="0" w:color="auto"/>
            <w:right w:val="none" w:sz="0" w:space="0" w:color="auto"/>
          </w:divBdr>
          <w:divsChild>
            <w:div w:id="733087689">
              <w:marLeft w:val="300"/>
              <w:marRight w:val="300"/>
              <w:marTop w:val="0"/>
              <w:marBottom w:val="0"/>
              <w:divBdr>
                <w:top w:val="none" w:sz="0" w:space="0" w:color="auto"/>
                <w:left w:val="none" w:sz="0" w:space="0" w:color="auto"/>
                <w:bottom w:val="none" w:sz="0" w:space="0" w:color="auto"/>
                <w:right w:val="none" w:sz="0" w:space="0" w:color="auto"/>
              </w:divBdr>
              <w:divsChild>
                <w:div w:id="1148011993">
                  <w:marLeft w:val="0"/>
                  <w:marRight w:val="0"/>
                  <w:marTop w:val="0"/>
                  <w:marBottom w:val="0"/>
                  <w:divBdr>
                    <w:top w:val="none" w:sz="0" w:space="0" w:color="auto"/>
                    <w:left w:val="none" w:sz="0" w:space="0" w:color="auto"/>
                    <w:bottom w:val="none" w:sz="0" w:space="0" w:color="auto"/>
                    <w:right w:val="none" w:sz="0" w:space="0" w:color="auto"/>
                  </w:divBdr>
                  <w:divsChild>
                    <w:div w:id="149711211">
                      <w:marLeft w:val="0"/>
                      <w:marRight w:val="0"/>
                      <w:marTop w:val="0"/>
                      <w:marBottom w:val="0"/>
                      <w:divBdr>
                        <w:top w:val="none" w:sz="0" w:space="0" w:color="auto"/>
                        <w:left w:val="none" w:sz="0" w:space="0" w:color="auto"/>
                        <w:bottom w:val="none" w:sz="0" w:space="0" w:color="auto"/>
                        <w:right w:val="none" w:sz="0" w:space="0" w:color="auto"/>
                      </w:divBdr>
                      <w:divsChild>
                        <w:div w:id="1187792631">
                          <w:marLeft w:val="0"/>
                          <w:marRight w:val="0"/>
                          <w:marTop w:val="0"/>
                          <w:marBottom w:val="0"/>
                          <w:divBdr>
                            <w:top w:val="single" w:sz="6" w:space="5" w:color="FFFFFF"/>
                            <w:left w:val="none" w:sz="0" w:space="0" w:color="auto"/>
                            <w:bottom w:val="none" w:sz="0" w:space="0" w:color="auto"/>
                            <w:right w:val="none" w:sz="0" w:space="0" w:color="auto"/>
                          </w:divBdr>
                          <w:divsChild>
                            <w:div w:id="1072198777">
                              <w:marLeft w:val="0"/>
                              <w:marRight w:val="105"/>
                              <w:marTop w:val="0"/>
                              <w:marBottom w:val="90"/>
                              <w:divBdr>
                                <w:top w:val="single" w:sz="6" w:space="1" w:color="D8D8D8"/>
                                <w:left w:val="single" w:sz="6" w:space="6" w:color="D8D8D8"/>
                                <w:bottom w:val="single" w:sz="6" w:space="1" w:color="D8D8D8"/>
                                <w:right w:val="single" w:sz="6" w:space="6" w:color="D8D8D8"/>
                              </w:divBdr>
                            </w:div>
                            <w:div w:id="1587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2167</Words>
  <Characters>12358</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Nedelkov</dc:creator>
  <cp:lastModifiedBy>Joro Dimitrov</cp:lastModifiedBy>
  <cp:revision>16</cp:revision>
  <dcterms:created xsi:type="dcterms:W3CDTF">2018-12-10T09:01:00Z</dcterms:created>
  <dcterms:modified xsi:type="dcterms:W3CDTF">2018-12-19T08:17:00Z</dcterms:modified>
</cp:coreProperties>
</file>