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AE" w:rsidRPr="00BF30AE" w:rsidRDefault="00BF30AE" w:rsidP="0017620E">
      <w:pPr>
        <w:jc w:val="center"/>
        <w:rPr>
          <w:rFonts w:ascii="Times New Roman" w:hAnsi="Times New Roman" w:cs="Times New Roman"/>
          <w:b/>
          <w:sz w:val="24"/>
          <w:szCs w:val="24"/>
        </w:rPr>
      </w:pPr>
      <w:bookmarkStart w:id="0" w:name="_GoBack"/>
      <w:bookmarkEnd w:id="0"/>
      <w:r w:rsidRPr="00BF30AE">
        <w:rPr>
          <w:rFonts w:ascii="Times New Roman" w:hAnsi="Times New Roman" w:cs="Times New Roman"/>
          <w:b/>
          <w:sz w:val="24"/>
          <w:szCs w:val="24"/>
        </w:rPr>
        <w:t>СПРАВКА</w:t>
      </w:r>
    </w:p>
    <w:p w:rsidR="00E34216" w:rsidRDefault="00BF30AE" w:rsidP="0017620E">
      <w:pPr>
        <w:jc w:val="center"/>
        <w:rPr>
          <w:rFonts w:ascii="Times New Roman" w:hAnsi="Times New Roman" w:cs="Times New Roman"/>
          <w:sz w:val="24"/>
          <w:szCs w:val="24"/>
        </w:rPr>
      </w:pPr>
      <w:r w:rsidRPr="00BF30AE">
        <w:rPr>
          <w:rFonts w:ascii="Times New Roman" w:hAnsi="Times New Roman" w:cs="Times New Roman"/>
          <w:sz w:val="24"/>
          <w:szCs w:val="24"/>
        </w:rPr>
        <w:t xml:space="preserve">за </w:t>
      </w:r>
      <w:r w:rsidR="00D23A52">
        <w:rPr>
          <w:rFonts w:ascii="Times New Roman" w:hAnsi="Times New Roman" w:cs="Times New Roman"/>
          <w:sz w:val="24"/>
          <w:szCs w:val="24"/>
        </w:rPr>
        <w:t>постъпилите</w:t>
      </w:r>
      <w:r w:rsidRPr="00BF30AE">
        <w:rPr>
          <w:rFonts w:ascii="Times New Roman" w:hAnsi="Times New Roman" w:cs="Times New Roman"/>
          <w:sz w:val="24"/>
          <w:szCs w:val="24"/>
        </w:rPr>
        <w:t xml:space="preserve"> предложенията </w:t>
      </w:r>
      <w:r w:rsidR="006600A3">
        <w:rPr>
          <w:rFonts w:ascii="Times New Roman" w:hAnsi="Times New Roman" w:cs="Times New Roman"/>
          <w:sz w:val="24"/>
          <w:szCs w:val="24"/>
        </w:rPr>
        <w:t>при</w:t>
      </w:r>
      <w:r w:rsidR="0017620E">
        <w:rPr>
          <w:rFonts w:ascii="Times New Roman" w:hAnsi="Times New Roman" w:cs="Times New Roman"/>
          <w:sz w:val="24"/>
          <w:szCs w:val="24"/>
        </w:rPr>
        <w:t xml:space="preserve"> общественото обсъждане</w:t>
      </w:r>
      <w:r w:rsidR="006600A3">
        <w:rPr>
          <w:rFonts w:ascii="Times New Roman" w:hAnsi="Times New Roman" w:cs="Times New Roman"/>
          <w:sz w:val="24"/>
          <w:szCs w:val="24"/>
        </w:rPr>
        <w:t xml:space="preserve"> </w:t>
      </w:r>
    </w:p>
    <w:p w:rsidR="00AD40DB" w:rsidRPr="00E34216" w:rsidRDefault="0017620E" w:rsidP="0017620E">
      <w:pPr>
        <w:jc w:val="center"/>
        <w:rPr>
          <w:rFonts w:ascii="Times New Roman" w:hAnsi="Times New Roman" w:cs="Times New Roman"/>
          <w:sz w:val="24"/>
          <w:szCs w:val="24"/>
        </w:rPr>
      </w:pPr>
      <w:r>
        <w:rPr>
          <w:rFonts w:ascii="Times New Roman" w:hAnsi="Times New Roman" w:cs="Times New Roman"/>
          <w:sz w:val="24"/>
          <w:szCs w:val="24"/>
        </w:rPr>
        <w:t>на Закона за изменение и допълнение на Закона за железопътния транспорт</w:t>
      </w:r>
      <w:r w:rsidR="00D23A52">
        <w:rPr>
          <w:rFonts w:ascii="Times New Roman" w:hAnsi="Times New Roman" w:cs="Times New Roman"/>
          <w:sz w:val="24"/>
          <w:szCs w:val="24"/>
        </w:rPr>
        <w:t xml:space="preserve"> </w:t>
      </w:r>
      <w:r w:rsidR="00E34216" w:rsidRPr="00E34216">
        <w:rPr>
          <w:rFonts w:ascii="Times New Roman" w:hAnsi="Times New Roman" w:cs="Times New Roman"/>
          <w:sz w:val="24"/>
          <w:szCs w:val="24"/>
        </w:rPr>
        <w:t xml:space="preserve">в периода </w:t>
      </w:r>
      <w:r w:rsidR="00BD63D6">
        <w:rPr>
          <w:rFonts w:ascii="Times New Roman" w:hAnsi="Times New Roman" w:cs="Times New Roman"/>
          <w:sz w:val="24"/>
          <w:szCs w:val="24"/>
        </w:rPr>
        <w:t>8</w:t>
      </w:r>
      <w:r w:rsidR="00E34216" w:rsidRPr="00E34216">
        <w:rPr>
          <w:rFonts w:ascii="Times New Roman" w:hAnsi="Times New Roman" w:cs="Times New Roman"/>
          <w:sz w:val="24"/>
          <w:szCs w:val="24"/>
        </w:rPr>
        <w:t>.</w:t>
      </w:r>
      <w:r w:rsidR="00680EAB" w:rsidRPr="00743543">
        <w:rPr>
          <w:rFonts w:ascii="Times New Roman" w:hAnsi="Times New Roman" w:cs="Times New Roman"/>
          <w:sz w:val="24"/>
          <w:szCs w:val="24"/>
          <w:lang w:val="ru-RU"/>
        </w:rPr>
        <w:t>0</w:t>
      </w:r>
      <w:r w:rsidR="00BD63D6">
        <w:rPr>
          <w:rFonts w:ascii="Times New Roman" w:hAnsi="Times New Roman" w:cs="Times New Roman"/>
          <w:sz w:val="24"/>
          <w:szCs w:val="24"/>
          <w:lang w:val="ru-RU"/>
        </w:rPr>
        <w:t>6</w:t>
      </w:r>
      <w:r w:rsidR="00E34216" w:rsidRPr="00E34216">
        <w:rPr>
          <w:rFonts w:ascii="Times New Roman" w:hAnsi="Times New Roman" w:cs="Times New Roman"/>
          <w:sz w:val="24"/>
          <w:szCs w:val="24"/>
        </w:rPr>
        <w:t>.20</w:t>
      </w:r>
      <w:r w:rsidR="00BD63D6">
        <w:rPr>
          <w:rFonts w:ascii="Times New Roman" w:hAnsi="Times New Roman" w:cs="Times New Roman"/>
          <w:sz w:val="24"/>
          <w:szCs w:val="24"/>
        </w:rPr>
        <w:t>20</w:t>
      </w:r>
      <w:r w:rsidR="00E34216" w:rsidRPr="00E34216">
        <w:rPr>
          <w:rFonts w:ascii="Times New Roman" w:hAnsi="Times New Roman" w:cs="Times New Roman"/>
          <w:sz w:val="24"/>
          <w:szCs w:val="24"/>
        </w:rPr>
        <w:t xml:space="preserve"> г. – </w:t>
      </w:r>
      <w:r w:rsidR="00BD63D6">
        <w:rPr>
          <w:rFonts w:ascii="Times New Roman" w:hAnsi="Times New Roman" w:cs="Times New Roman"/>
          <w:sz w:val="24"/>
          <w:szCs w:val="24"/>
          <w:lang w:val="ru-RU"/>
        </w:rPr>
        <w:t>8</w:t>
      </w:r>
      <w:r w:rsidR="00BD63D6">
        <w:rPr>
          <w:rFonts w:ascii="Times New Roman" w:hAnsi="Times New Roman" w:cs="Times New Roman"/>
          <w:sz w:val="24"/>
          <w:szCs w:val="24"/>
        </w:rPr>
        <w:t>.07</w:t>
      </w:r>
      <w:r w:rsidR="00E34216" w:rsidRPr="00E34216">
        <w:rPr>
          <w:rFonts w:ascii="Times New Roman" w:hAnsi="Times New Roman" w:cs="Times New Roman"/>
          <w:sz w:val="24"/>
          <w:szCs w:val="24"/>
        </w:rPr>
        <w:t>.20</w:t>
      </w:r>
      <w:r w:rsidR="00BD63D6">
        <w:rPr>
          <w:rFonts w:ascii="Times New Roman" w:hAnsi="Times New Roman" w:cs="Times New Roman"/>
          <w:sz w:val="24"/>
          <w:szCs w:val="24"/>
        </w:rPr>
        <w:t>20</w:t>
      </w:r>
      <w:r w:rsidR="00680EAB" w:rsidRPr="00743543">
        <w:rPr>
          <w:rFonts w:ascii="Times New Roman" w:hAnsi="Times New Roman" w:cs="Times New Roman"/>
          <w:sz w:val="24"/>
          <w:szCs w:val="24"/>
          <w:lang w:val="ru-RU"/>
        </w:rPr>
        <w:t xml:space="preserve"> </w:t>
      </w:r>
      <w:r w:rsidR="00E34216" w:rsidRPr="00E34216">
        <w:rPr>
          <w:rFonts w:ascii="Times New Roman" w:hAnsi="Times New Roman" w:cs="Times New Roman"/>
          <w:sz w:val="24"/>
          <w:szCs w:val="24"/>
        </w:rPr>
        <w:t>г.</w:t>
      </w:r>
    </w:p>
    <w:p w:rsidR="00BF30AE" w:rsidRPr="00E34216" w:rsidRDefault="00BF30AE">
      <w:pPr>
        <w:rPr>
          <w:rFonts w:ascii="Times New Roman" w:hAnsi="Times New Roman" w:cs="Times New Roman"/>
          <w:sz w:val="24"/>
          <w:szCs w:val="24"/>
        </w:rPr>
      </w:pPr>
    </w:p>
    <w:tbl>
      <w:tblPr>
        <w:tblStyle w:val="TableGrid"/>
        <w:tblW w:w="15134" w:type="dxa"/>
        <w:tblInd w:w="-318" w:type="dxa"/>
        <w:tblLayout w:type="fixed"/>
        <w:tblLook w:val="04A0" w:firstRow="1" w:lastRow="0" w:firstColumn="1" w:lastColumn="0" w:noHBand="0" w:noVBand="1"/>
      </w:tblPr>
      <w:tblGrid>
        <w:gridCol w:w="2014"/>
        <w:gridCol w:w="5954"/>
        <w:gridCol w:w="1843"/>
        <w:gridCol w:w="5323"/>
      </w:tblGrid>
      <w:tr w:rsidR="0017620E" w:rsidRPr="000C4D15" w:rsidTr="00DA42F9">
        <w:tc>
          <w:tcPr>
            <w:tcW w:w="2014" w:type="dxa"/>
          </w:tcPr>
          <w:p w:rsidR="0017620E" w:rsidRPr="00BC1192" w:rsidRDefault="0017620E" w:rsidP="00AB1220">
            <w:pPr>
              <w:jc w:val="center"/>
              <w:rPr>
                <w:rFonts w:ascii="Times New Roman" w:hAnsi="Times New Roman" w:cs="Times New Roman"/>
                <w:b/>
              </w:rPr>
            </w:pPr>
            <w:r w:rsidRPr="00BC1192">
              <w:rPr>
                <w:rFonts w:ascii="Times New Roman" w:hAnsi="Times New Roman" w:cs="Times New Roman"/>
                <w:b/>
              </w:rPr>
              <w:t xml:space="preserve">Изготвил </w:t>
            </w:r>
            <w:r w:rsidR="00BC1192">
              <w:rPr>
                <w:rFonts w:ascii="Times New Roman" w:hAnsi="Times New Roman" w:cs="Times New Roman"/>
                <w:b/>
              </w:rPr>
              <w:t>предложението</w:t>
            </w:r>
          </w:p>
          <w:p w:rsidR="0017620E" w:rsidRPr="00BC1192" w:rsidRDefault="0017620E" w:rsidP="00AB1220">
            <w:pPr>
              <w:jc w:val="center"/>
              <w:rPr>
                <w:rFonts w:ascii="Times New Roman" w:hAnsi="Times New Roman" w:cs="Times New Roman"/>
                <w:b/>
              </w:rPr>
            </w:pPr>
          </w:p>
        </w:tc>
        <w:tc>
          <w:tcPr>
            <w:tcW w:w="5954" w:type="dxa"/>
          </w:tcPr>
          <w:p w:rsidR="0017620E" w:rsidRPr="00BC1192" w:rsidRDefault="0017620E" w:rsidP="00AB1220">
            <w:pPr>
              <w:jc w:val="center"/>
              <w:rPr>
                <w:rFonts w:ascii="Times New Roman" w:hAnsi="Times New Roman" w:cs="Times New Roman"/>
                <w:b/>
              </w:rPr>
            </w:pPr>
            <w:r w:rsidRPr="00BC1192">
              <w:rPr>
                <w:rFonts w:ascii="Times New Roman" w:hAnsi="Times New Roman" w:cs="Times New Roman"/>
                <w:b/>
              </w:rPr>
              <w:t>Предложение</w:t>
            </w:r>
          </w:p>
          <w:p w:rsidR="0017620E" w:rsidRPr="00BC1192" w:rsidRDefault="0017620E" w:rsidP="00AB1220">
            <w:pPr>
              <w:jc w:val="center"/>
              <w:rPr>
                <w:rFonts w:ascii="Times New Roman" w:hAnsi="Times New Roman" w:cs="Times New Roman"/>
                <w:b/>
              </w:rPr>
            </w:pPr>
          </w:p>
        </w:tc>
        <w:tc>
          <w:tcPr>
            <w:tcW w:w="1843" w:type="dxa"/>
          </w:tcPr>
          <w:p w:rsidR="0017620E" w:rsidRPr="00BC1192" w:rsidRDefault="0017620E" w:rsidP="00AB1220">
            <w:pPr>
              <w:jc w:val="center"/>
              <w:rPr>
                <w:rFonts w:ascii="Times New Roman" w:hAnsi="Times New Roman" w:cs="Times New Roman"/>
                <w:b/>
              </w:rPr>
            </w:pPr>
            <w:r w:rsidRPr="00BC1192">
              <w:rPr>
                <w:rFonts w:ascii="Times New Roman" w:hAnsi="Times New Roman" w:cs="Times New Roman"/>
                <w:b/>
              </w:rPr>
              <w:t>Приема/ не приема предложението</w:t>
            </w:r>
          </w:p>
          <w:p w:rsidR="0017620E" w:rsidRPr="00BC1192" w:rsidRDefault="0017620E" w:rsidP="00AB1220">
            <w:pPr>
              <w:jc w:val="center"/>
              <w:rPr>
                <w:rFonts w:ascii="Times New Roman" w:hAnsi="Times New Roman" w:cs="Times New Roman"/>
                <w:b/>
              </w:rPr>
            </w:pPr>
          </w:p>
        </w:tc>
        <w:tc>
          <w:tcPr>
            <w:tcW w:w="5323" w:type="dxa"/>
          </w:tcPr>
          <w:p w:rsidR="0017620E" w:rsidRPr="00BC1192" w:rsidRDefault="0017620E" w:rsidP="000D58CE">
            <w:pPr>
              <w:jc w:val="center"/>
              <w:rPr>
                <w:rFonts w:ascii="Times New Roman" w:hAnsi="Times New Roman" w:cs="Times New Roman"/>
                <w:b/>
              </w:rPr>
            </w:pPr>
            <w:r w:rsidRPr="00BC1192">
              <w:rPr>
                <w:rFonts w:ascii="Times New Roman" w:hAnsi="Times New Roman" w:cs="Times New Roman"/>
                <w:b/>
              </w:rPr>
              <w:t xml:space="preserve">Мотиви </w:t>
            </w:r>
          </w:p>
        </w:tc>
      </w:tr>
      <w:tr w:rsidR="00BD63D6" w:rsidRPr="000C4D15" w:rsidTr="00DA42F9">
        <w:trPr>
          <w:trHeight w:val="845"/>
        </w:trPr>
        <w:tc>
          <w:tcPr>
            <w:tcW w:w="2014" w:type="dxa"/>
            <w:vMerge w:val="restart"/>
            <w:tcBorders>
              <w:top w:val="single" w:sz="4" w:space="0" w:color="auto"/>
              <w:left w:val="single" w:sz="4" w:space="0" w:color="auto"/>
              <w:right w:val="single" w:sz="4" w:space="0" w:color="auto"/>
            </w:tcBorders>
          </w:tcPr>
          <w:p w:rsidR="00BD63D6" w:rsidRDefault="00BD63D6" w:rsidP="00BD63D6">
            <w:pPr>
              <w:rPr>
                <w:rFonts w:ascii="Times New Roman" w:hAnsi="Times New Roman"/>
                <w:sz w:val="24"/>
                <w:szCs w:val="24"/>
              </w:rPr>
            </w:pPr>
            <w:r w:rsidRPr="00E7126C">
              <w:rPr>
                <w:rFonts w:ascii="Times New Roman" w:hAnsi="Times New Roman"/>
                <w:sz w:val="24"/>
                <w:szCs w:val="24"/>
              </w:rPr>
              <w:t xml:space="preserve">draghetto </w:t>
            </w:r>
          </w:p>
          <w:p w:rsidR="00BD63D6" w:rsidRPr="00E60FD8" w:rsidRDefault="00BD63D6" w:rsidP="005B54ED">
            <w:pPr>
              <w:rPr>
                <w:rFonts w:ascii="Times New Roman" w:hAnsi="Times New Roman"/>
                <w:sz w:val="24"/>
                <w:szCs w:val="24"/>
              </w:rPr>
            </w:pPr>
            <w:r>
              <w:rPr>
                <w:rFonts w:ascii="Times New Roman" w:hAnsi="Times New Roman"/>
                <w:sz w:val="24"/>
                <w:szCs w:val="24"/>
              </w:rPr>
              <w:t>(предложение, постъпило на 22</w:t>
            </w:r>
            <w:r w:rsidRPr="004974E6">
              <w:rPr>
                <w:rFonts w:ascii="Times New Roman" w:hAnsi="Times New Roman"/>
                <w:sz w:val="24"/>
                <w:szCs w:val="24"/>
              </w:rPr>
              <w:t>.</w:t>
            </w:r>
            <w:r>
              <w:rPr>
                <w:rFonts w:ascii="Times New Roman" w:hAnsi="Times New Roman"/>
                <w:sz w:val="24"/>
                <w:szCs w:val="24"/>
                <w:lang w:val="en-US"/>
              </w:rPr>
              <w:t>0</w:t>
            </w:r>
            <w:r>
              <w:rPr>
                <w:rFonts w:ascii="Times New Roman" w:hAnsi="Times New Roman"/>
                <w:sz w:val="24"/>
                <w:szCs w:val="24"/>
              </w:rPr>
              <w:t>6</w:t>
            </w:r>
            <w:r w:rsidRPr="004974E6">
              <w:rPr>
                <w:rFonts w:ascii="Times New Roman" w:hAnsi="Times New Roman"/>
                <w:sz w:val="24"/>
                <w:szCs w:val="24"/>
              </w:rPr>
              <w:t>.20</w:t>
            </w:r>
            <w:r>
              <w:rPr>
                <w:rFonts w:ascii="Times New Roman" w:hAnsi="Times New Roman"/>
                <w:sz w:val="24"/>
                <w:szCs w:val="24"/>
                <w:lang w:val="en-US"/>
              </w:rPr>
              <w:t>20</w:t>
            </w:r>
            <w:r w:rsidRPr="004974E6">
              <w:rPr>
                <w:rFonts w:ascii="Times New Roman" w:hAnsi="Times New Roman"/>
                <w:sz w:val="24"/>
                <w:szCs w:val="24"/>
              </w:rPr>
              <w:t xml:space="preserve"> г.</w:t>
            </w:r>
            <w:r>
              <w:rPr>
                <w:rFonts w:ascii="Times New Roman" w:hAnsi="Times New Roman"/>
                <w:sz w:val="24"/>
                <w:szCs w:val="24"/>
              </w:rPr>
              <w:t xml:space="preserve"> в системата за обществени консултации на Министерския съвет</w:t>
            </w:r>
            <w:r w:rsidRPr="004974E6">
              <w:rPr>
                <w:rFonts w:ascii="Times New Roman" w:hAnsi="Times New Roman"/>
                <w:sz w:val="24"/>
                <w:szCs w:val="24"/>
              </w:rPr>
              <w:t>)</w:t>
            </w:r>
          </w:p>
        </w:tc>
        <w:tc>
          <w:tcPr>
            <w:tcW w:w="5954" w:type="dxa"/>
            <w:tcBorders>
              <w:top w:val="single" w:sz="4" w:space="0" w:color="auto"/>
              <w:left w:val="single" w:sz="4" w:space="0" w:color="auto"/>
              <w:bottom w:val="single" w:sz="4" w:space="0" w:color="D9D9D9" w:themeColor="background1" w:themeShade="D9"/>
              <w:right w:val="single" w:sz="4" w:space="0" w:color="auto"/>
            </w:tcBorders>
          </w:tcPr>
          <w:p w:rsidR="00681846" w:rsidRPr="0097360B" w:rsidRDefault="00BD63D6" w:rsidP="0097360B">
            <w:pPr>
              <w:pStyle w:val="ListParagraph"/>
              <w:tabs>
                <w:tab w:val="left" w:pos="342"/>
              </w:tabs>
              <w:ind w:left="4"/>
              <w:rPr>
                <w:rFonts w:ascii="Times New Roman" w:hAnsi="Times New Roman"/>
                <w:sz w:val="24"/>
                <w:szCs w:val="24"/>
              </w:rPr>
            </w:pPr>
            <w:r w:rsidRPr="0097360B">
              <w:rPr>
                <w:rFonts w:ascii="Times New Roman" w:hAnsi="Times New Roman"/>
                <w:bCs/>
                <w:sz w:val="24"/>
                <w:szCs w:val="24"/>
              </w:rPr>
              <w:t>Чл. 27. от ЗЖТ да се допълни по следния начин: </w:t>
            </w:r>
            <w:r w:rsidRPr="0097360B">
              <w:rPr>
                <w:rFonts w:ascii="Times New Roman" w:hAnsi="Times New Roman"/>
                <w:sz w:val="24"/>
                <w:szCs w:val="24"/>
              </w:rPr>
              <w:br/>
              <w:t>„Министерският съвет по предложение на министъра на транспорта, информационните технологии и съобщенията приема </w:t>
            </w:r>
            <w:r w:rsidRPr="0097360B">
              <w:rPr>
                <w:rFonts w:ascii="Times New Roman" w:hAnsi="Times New Roman"/>
                <w:bCs/>
                <w:sz w:val="24"/>
                <w:szCs w:val="24"/>
              </w:rPr>
              <w:t>краткосрочна 5-годишна, средносрочна 10-годишна и дългосрочна 20-годишина</w:t>
            </w:r>
            <w:r w:rsidRPr="0097360B">
              <w:rPr>
                <w:rFonts w:ascii="Times New Roman" w:hAnsi="Times New Roman"/>
                <w:sz w:val="24"/>
                <w:szCs w:val="24"/>
              </w:rPr>
              <w:t> програма </w:t>
            </w:r>
            <w:r w:rsidRPr="0097360B">
              <w:rPr>
                <w:rFonts w:ascii="Times New Roman" w:hAnsi="Times New Roman"/>
                <w:bCs/>
                <w:sz w:val="24"/>
                <w:szCs w:val="24"/>
              </w:rPr>
              <w:t>и пътна карта</w:t>
            </w:r>
            <w:r w:rsidRPr="0097360B">
              <w:rPr>
                <w:rFonts w:ascii="Times New Roman" w:hAnsi="Times New Roman"/>
                <w:sz w:val="24"/>
                <w:szCs w:val="24"/>
              </w:rPr>
              <w:t> 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w:t>
            </w:r>
          </w:p>
        </w:tc>
        <w:tc>
          <w:tcPr>
            <w:tcW w:w="1843" w:type="dxa"/>
            <w:vMerge w:val="restart"/>
          </w:tcPr>
          <w:p w:rsidR="00BD63D6" w:rsidRPr="0097360B" w:rsidRDefault="00BD63D6" w:rsidP="007F51CB">
            <w:pPr>
              <w:jc w:val="center"/>
              <w:rPr>
                <w:rFonts w:ascii="Times New Roman" w:hAnsi="Times New Roman" w:cs="Times New Roman"/>
                <w:sz w:val="24"/>
                <w:szCs w:val="24"/>
              </w:rPr>
            </w:pPr>
            <w:r w:rsidRPr="0097360B">
              <w:rPr>
                <w:rFonts w:ascii="Times New Roman" w:hAnsi="Times New Roman" w:cs="Times New Roman"/>
                <w:sz w:val="24"/>
                <w:szCs w:val="24"/>
              </w:rPr>
              <w:t>Не се приема</w:t>
            </w:r>
            <w:r w:rsidR="0097360B" w:rsidRPr="0097360B">
              <w:rPr>
                <w:rFonts w:ascii="Times New Roman" w:hAnsi="Times New Roman" w:cs="Times New Roman"/>
                <w:sz w:val="24"/>
                <w:szCs w:val="24"/>
              </w:rPr>
              <w:t>.</w:t>
            </w:r>
          </w:p>
        </w:tc>
        <w:tc>
          <w:tcPr>
            <w:tcW w:w="5323" w:type="dxa"/>
            <w:vMerge w:val="restart"/>
            <w:tcBorders>
              <w:top w:val="single" w:sz="4" w:space="0" w:color="auto"/>
              <w:left w:val="single" w:sz="4" w:space="0" w:color="auto"/>
              <w:right w:val="single" w:sz="4" w:space="0" w:color="auto"/>
            </w:tcBorders>
          </w:tcPr>
          <w:p w:rsidR="00BD63D6" w:rsidRDefault="00BD63D6" w:rsidP="00BD63D6">
            <w:pPr>
              <w:rPr>
                <w:rFonts w:ascii="Times New Roman" w:hAnsi="Times New Roman"/>
                <w:sz w:val="24"/>
                <w:szCs w:val="24"/>
              </w:rPr>
            </w:pPr>
            <w:r>
              <w:rPr>
                <w:rFonts w:ascii="Times New Roman" w:hAnsi="Times New Roman"/>
                <w:sz w:val="24"/>
                <w:szCs w:val="24"/>
              </w:rPr>
              <w:t xml:space="preserve">В </w:t>
            </w:r>
            <w:r w:rsidR="000A6DEB">
              <w:rPr>
                <w:rFonts w:ascii="Times New Roman" w:hAnsi="Times New Roman"/>
                <w:sz w:val="24"/>
                <w:szCs w:val="24"/>
              </w:rPr>
              <w:t>ЗЖТ</w:t>
            </w:r>
            <w:r>
              <w:rPr>
                <w:rFonts w:ascii="Times New Roman" w:hAnsi="Times New Roman"/>
                <w:sz w:val="24"/>
                <w:szCs w:val="24"/>
              </w:rPr>
              <w:t xml:space="preserve"> са регламентирани въпросите 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 </w:t>
            </w:r>
          </w:p>
          <w:p w:rsidR="00BD63D6" w:rsidRDefault="007F51CB" w:rsidP="00BD63D6">
            <w:pPr>
              <w:rPr>
                <w:rFonts w:ascii="Times New Roman" w:hAnsi="Times New Roman"/>
                <w:sz w:val="24"/>
                <w:szCs w:val="24"/>
              </w:rPr>
            </w:pPr>
            <w:r>
              <w:rPr>
                <w:rFonts w:ascii="Times New Roman" w:hAnsi="Times New Roman"/>
                <w:sz w:val="24"/>
                <w:szCs w:val="24"/>
              </w:rPr>
              <w:t>Предвиде</w:t>
            </w:r>
            <w:r w:rsidR="000A6DEB">
              <w:rPr>
                <w:rFonts w:ascii="Times New Roman" w:hAnsi="Times New Roman"/>
                <w:sz w:val="24"/>
                <w:szCs w:val="24"/>
              </w:rPr>
              <w:t xml:space="preserve">но </w:t>
            </w:r>
            <w:r w:rsidR="0097360B">
              <w:rPr>
                <w:rFonts w:ascii="Times New Roman" w:hAnsi="Times New Roman"/>
                <w:sz w:val="24"/>
                <w:szCs w:val="24"/>
              </w:rPr>
              <w:t xml:space="preserve">е </w:t>
            </w:r>
            <w:r w:rsidR="00BD63D6">
              <w:rPr>
                <w:rFonts w:ascii="Times New Roman" w:hAnsi="Times New Roman"/>
                <w:sz w:val="24"/>
                <w:szCs w:val="24"/>
              </w:rPr>
              <w:t xml:space="preserve">изготвянето и приемането на </w:t>
            </w:r>
            <w:r w:rsidR="00BD63D6" w:rsidRPr="007F4941">
              <w:rPr>
                <w:rFonts w:ascii="Times New Roman" w:hAnsi="Times New Roman"/>
                <w:b/>
                <w:sz w:val="24"/>
                <w:szCs w:val="24"/>
                <w:u w:val="single"/>
              </w:rPr>
              <w:t>годишна програма</w:t>
            </w:r>
            <w:r w:rsidR="00BD63D6">
              <w:rPr>
                <w:rFonts w:ascii="Times New Roman" w:hAnsi="Times New Roman"/>
                <w:sz w:val="24"/>
                <w:szCs w:val="24"/>
              </w:rPr>
              <w:t xml:space="preserve"> </w:t>
            </w:r>
            <w:r w:rsidR="00BD63D6" w:rsidRPr="007F4941">
              <w:rPr>
                <w:rFonts w:ascii="Times New Roman" w:hAnsi="Times New Roman"/>
                <w:sz w:val="24"/>
                <w:szCs w:val="24"/>
              </w:rPr>
              <w:t>за изграждане, поддържане, ремонт и експлоатация на железопътната инфраструктура</w:t>
            </w:r>
            <w:r w:rsidR="00BD63D6">
              <w:rPr>
                <w:rFonts w:ascii="Times New Roman" w:hAnsi="Times New Roman"/>
                <w:sz w:val="24"/>
                <w:szCs w:val="24"/>
              </w:rPr>
              <w:t xml:space="preserve"> и на 10</w:t>
            </w:r>
            <w:r w:rsidR="0097360B">
              <w:rPr>
                <w:rFonts w:ascii="Times New Roman" w:hAnsi="Times New Roman"/>
                <w:sz w:val="24"/>
                <w:szCs w:val="24"/>
              </w:rPr>
              <w:t>-</w:t>
            </w:r>
            <w:r w:rsidR="00BD63D6">
              <w:rPr>
                <w:rFonts w:ascii="Times New Roman" w:hAnsi="Times New Roman"/>
                <w:sz w:val="24"/>
                <w:szCs w:val="24"/>
              </w:rPr>
              <w:t xml:space="preserve">годишна </w:t>
            </w:r>
            <w:r w:rsidR="00BD63D6" w:rsidRPr="007F4941">
              <w:rPr>
                <w:rFonts w:ascii="Times New Roman" w:hAnsi="Times New Roman"/>
                <w:sz w:val="24"/>
                <w:szCs w:val="24"/>
              </w:rPr>
              <w:t>програма 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w:t>
            </w:r>
            <w:r w:rsidR="00BD63D6">
              <w:rPr>
                <w:rFonts w:ascii="Times New Roman" w:hAnsi="Times New Roman"/>
                <w:sz w:val="24"/>
                <w:szCs w:val="24"/>
              </w:rPr>
              <w:t>. Годишната програма се изготвя от генералния директор на Н</w:t>
            </w:r>
            <w:r w:rsidR="000A6DEB">
              <w:rPr>
                <w:rFonts w:ascii="Times New Roman" w:hAnsi="Times New Roman"/>
                <w:sz w:val="24"/>
                <w:szCs w:val="24"/>
              </w:rPr>
              <w:t>ационална компания</w:t>
            </w:r>
            <w:r w:rsidR="00BD63D6">
              <w:rPr>
                <w:rFonts w:ascii="Times New Roman" w:hAnsi="Times New Roman"/>
                <w:sz w:val="24"/>
                <w:szCs w:val="24"/>
              </w:rPr>
              <w:t xml:space="preserve"> „Железопътна инфраструктура“</w:t>
            </w:r>
            <w:r w:rsidR="0097360B">
              <w:rPr>
                <w:rFonts w:ascii="Times New Roman" w:hAnsi="Times New Roman"/>
                <w:sz w:val="24"/>
                <w:szCs w:val="24"/>
              </w:rPr>
              <w:t xml:space="preserve"> (НКЖИ)</w:t>
            </w:r>
            <w:r w:rsidR="00BD63D6">
              <w:rPr>
                <w:rFonts w:ascii="Times New Roman" w:hAnsi="Times New Roman"/>
                <w:sz w:val="24"/>
                <w:szCs w:val="24"/>
              </w:rPr>
              <w:t>, приема се от Управителния съвет на Н</w:t>
            </w:r>
            <w:r>
              <w:rPr>
                <w:rFonts w:ascii="Times New Roman" w:hAnsi="Times New Roman"/>
                <w:sz w:val="24"/>
                <w:szCs w:val="24"/>
              </w:rPr>
              <w:t>КЖИ</w:t>
            </w:r>
            <w:r w:rsidR="00BD63D6">
              <w:rPr>
                <w:rFonts w:ascii="Times New Roman" w:hAnsi="Times New Roman"/>
                <w:sz w:val="24"/>
                <w:szCs w:val="24"/>
              </w:rPr>
              <w:t xml:space="preserve"> и се утвърждава от министъра на транспорта, информационните технологии и съобщенията (чл. 28, ал. 1 от ЗЖТ).</w:t>
            </w:r>
          </w:p>
          <w:p w:rsidR="00BD63D6" w:rsidRDefault="00BD63D6" w:rsidP="00BD63D6">
            <w:pPr>
              <w:rPr>
                <w:rFonts w:ascii="Times New Roman" w:hAnsi="Times New Roman"/>
                <w:sz w:val="24"/>
                <w:szCs w:val="24"/>
              </w:rPr>
            </w:pPr>
            <w:r>
              <w:rPr>
                <w:rFonts w:ascii="Times New Roman" w:hAnsi="Times New Roman"/>
                <w:sz w:val="24"/>
                <w:szCs w:val="24"/>
              </w:rPr>
              <w:t xml:space="preserve">Годишната програма е неразделна част от </w:t>
            </w:r>
            <w:r w:rsidRPr="0097360B">
              <w:rPr>
                <w:rFonts w:ascii="Times New Roman" w:hAnsi="Times New Roman"/>
                <w:sz w:val="24"/>
                <w:szCs w:val="24"/>
              </w:rPr>
              <w:t>5-годишен договор</w:t>
            </w:r>
            <w:r w:rsidR="000A6DEB" w:rsidRPr="0097360B">
              <w:rPr>
                <w:rFonts w:ascii="Times New Roman" w:hAnsi="Times New Roman"/>
                <w:sz w:val="24"/>
                <w:szCs w:val="24"/>
              </w:rPr>
              <w:t>, сключен</w:t>
            </w:r>
            <w:r w:rsidRPr="0097360B">
              <w:rPr>
                <w:rFonts w:ascii="Times New Roman" w:hAnsi="Times New Roman"/>
                <w:sz w:val="24"/>
                <w:szCs w:val="24"/>
              </w:rPr>
              <w:t xml:space="preserve"> между държавата</w:t>
            </w:r>
            <w:r w:rsidRPr="007F4941">
              <w:rPr>
                <w:rFonts w:ascii="Times New Roman" w:hAnsi="Times New Roman"/>
                <w:sz w:val="24"/>
                <w:szCs w:val="24"/>
              </w:rPr>
              <w:t xml:space="preserve"> </w:t>
            </w:r>
            <w:r>
              <w:rPr>
                <w:rFonts w:ascii="Times New Roman" w:hAnsi="Times New Roman"/>
                <w:sz w:val="24"/>
                <w:szCs w:val="24"/>
              </w:rPr>
              <w:t>и Н</w:t>
            </w:r>
            <w:r w:rsidR="0097360B">
              <w:rPr>
                <w:rFonts w:ascii="Times New Roman" w:hAnsi="Times New Roman"/>
                <w:sz w:val="24"/>
                <w:szCs w:val="24"/>
              </w:rPr>
              <w:t>КЖИ</w:t>
            </w:r>
            <w:r>
              <w:rPr>
                <w:rFonts w:ascii="Times New Roman" w:hAnsi="Times New Roman"/>
                <w:sz w:val="24"/>
                <w:szCs w:val="24"/>
              </w:rPr>
              <w:t xml:space="preserve"> за </w:t>
            </w:r>
            <w:r w:rsidRPr="007F4941">
              <w:rPr>
                <w:rFonts w:ascii="Times New Roman" w:hAnsi="Times New Roman"/>
                <w:sz w:val="24"/>
                <w:szCs w:val="24"/>
              </w:rPr>
              <w:t>изграждането, поддържането, развитието и експлоатацията н</w:t>
            </w:r>
            <w:r>
              <w:rPr>
                <w:rFonts w:ascii="Times New Roman" w:hAnsi="Times New Roman"/>
                <w:sz w:val="24"/>
                <w:szCs w:val="24"/>
              </w:rPr>
              <w:t>а железопътната инфраструктура (чл. 28, ал. 3 от ЗЖТ).</w:t>
            </w:r>
          </w:p>
          <w:p w:rsidR="00BD63D6" w:rsidRDefault="00BD63D6" w:rsidP="00BD63D6">
            <w:pPr>
              <w:rPr>
                <w:rFonts w:ascii="Times New Roman" w:hAnsi="Times New Roman"/>
                <w:sz w:val="24"/>
                <w:szCs w:val="24"/>
              </w:rPr>
            </w:pPr>
            <w:r w:rsidRPr="00201697">
              <w:rPr>
                <w:rFonts w:ascii="Times New Roman" w:hAnsi="Times New Roman"/>
                <w:sz w:val="24"/>
                <w:szCs w:val="24"/>
              </w:rPr>
              <w:t xml:space="preserve">Министерският съвет по предложение на министъра на транспорта, информационните </w:t>
            </w:r>
            <w:r w:rsidRPr="00201697">
              <w:rPr>
                <w:rFonts w:ascii="Times New Roman" w:hAnsi="Times New Roman"/>
                <w:sz w:val="24"/>
                <w:szCs w:val="24"/>
              </w:rPr>
              <w:lastRenderedPageBreak/>
              <w:t xml:space="preserve">технологии и съобщенията </w:t>
            </w:r>
            <w:r>
              <w:rPr>
                <w:rFonts w:ascii="Times New Roman" w:hAnsi="Times New Roman"/>
                <w:sz w:val="24"/>
                <w:szCs w:val="24"/>
              </w:rPr>
              <w:t xml:space="preserve">(чл. 5, т. 1 от ЗЖТ) </w:t>
            </w:r>
            <w:r w:rsidRPr="00201697">
              <w:rPr>
                <w:rFonts w:ascii="Times New Roman" w:hAnsi="Times New Roman"/>
                <w:sz w:val="24"/>
                <w:szCs w:val="24"/>
              </w:rPr>
              <w:t xml:space="preserve">приема </w:t>
            </w:r>
            <w:r w:rsidRPr="0097360B">
              <w:rPr>
                <w:rFonts w:ascii="Times New Roman" w:hAnsi="Times New Roman"/>
                <w:sz w:val="24"/>
                <w:szCs w:val="24"/>
              </w:rPr>
              <w:t xml:space="preserve">10-годишна програма </w:t>
            </w:r>
            <w:r w:rsidRPr="00201697">
              <w:rPr>
                <w:rFonts w:ascii="Times New Roman" w:hAnsi="Times New Roman"/>
                <w:sz w:val="24"/>
                <w:szCs w:val="24"/>
              </w:rPr>
              <w:t>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w:t>
            </w:r>
          </w:p>
          <w:p w:rsidR="00681846" w:rsidRPr="000517BC" w:rsidRDefault="00BD63D6" w:rsidP="007F51CB">
            <w:pPr>
              <w:rPr>
                <w:rFonts w:ascii="Times New Roman" w:hAnsi="Times New Roman"/>
                <w:sz w:val="24"/>
                <w:szCs w:val="24"/>
              </w:rPr>
            </w:pPr>
            <w:r>
              <w:rPr>
                <w:rFonts w:ascii="Times New Roman" w:hAnsi="Times New Roman"/>
                <w:sz w:val="24"/>
                <w:szCs w:val="24"/>
              </w:rPr>
              <w:t xml:space="preserve">И </w:t>
            </w:r>
            <w:r w:rsidR="000A6DEB">
              <w:rPr>
                <w:rFonts w:ascii="Times New Roman" w:hAnsi="Times New Roman"/>
                <w:sz w:val="24"/>
                <w:szCs w:val="24"/>
              </w:rPr>
              <w:t xml:space="preserve">понастоящем </w:t>
            </w:r>
            <w:r>
              <w:rPr>
                <w:rFonts w:ascii="Times New Roman" w:hAnsi="Times New Roman"/>
                <w:sz w:val="24"/>
                <w:szCs w:val="24"/>
              </w:rPr>
              <w:t>ЗЖТ определя ясно и точно задълженията на държавата и на Н</w:t>
            </w:r>
            <w:r w:rsidR="007F51CB">
              <w:rPr>
                <w:rFonts w:ascii="Times New Roman" w:hAnsi="Times New Roman"/>
                <w:sz w:val="24"/>
                <w:szCs w:val="24"/>
              </w:rPr>
              <w:t>КЖИ</w:t>
            </w:r>
            <w:r>
              <w:rPr>
                <w:rFonts w:ascii="Times New Roman" w:hAnsi="Times New Roman"/>
                <w:sz w:val="24"/>
                <w:szCs w:val="24"/>
              </w:rPr>
              <w:t xml:space="preserve"> за из</w:t>
            </w:r>
            <w:r w:rsidR="007F51CB">
              <w:rPr>
                <w:rFonts w:ascii="Times New Roman" w:hAnsi="Times New Roman"/>
                <w:sz w:val="24"/>
                <w:szCs w:val="24"/>
              </w:rPr>
              <w:t>готвяне на годишна програма, 5-</w:t>
            </w:r>
            <w:r>
              <w:rPr>
                <w:rFonts w:ascii="Times New Roman" w:hAnsi="Times New Roman"/>
                <w:sz w:val="24"/>
                <w:szCs w:val="24"/>
              </w:rPr>
              <w:t>годишен договор и 10-годишна програма за развитието на железопътния транспорт и на железопътната инфраструктура.</w:t>
            </w:r>
          </w:p>
        </w:tc>
      </w:tr>
      <w:tr w:rsidR="00BD63D6" w:rsidRPr="000C4D15" w:rsidTr="00DA42F9">
        <w:trPr>
          <w:trHeight w:val="1245"/>
        </w:trPr>
        <w:tc>
          <w:tcPr>
            <w:tcW w:w="2014" w:type="dxa"/>
            <w:vMerge/>
            <w:tcBorders>
              <w:left w:val="single" w:sz="4" w:space="0" w:color="auto"/>
              <w:right w:val="single" w:sz="4" w:space="0" w:color="auto"/>
            </w:tcBorders>
          </w:tcPr>
          <w:p w:rsidR="00BD63D6" w:rsidRPr="00E7126C" w:rsidRDefault="00BD63D6" w:rsidP="00BD63D6">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D63D6" w:rsidRDefault="00BD63D6" w:rsidP="00BD63D6">
            <w:pPr>
              <w:rPr>
                <w:rFonts w:ascii="Times New Roman" w:hAnsi="Times New Roman"/>
                <w:sz w:val="24"/>
                <w:szCs w:val="24"/>
              </w:rPr>
            </w:pPr>
            <w:r w:rsidRPr="0097360B">
              <w:rPr>
                <w:rFonts w:ascii="Times New Roman" w:hAnsi="Times New Roman"/>
                <w:bCs/>
                <w:sz w:val="24"/>
                <w:szCs w:val="24"/>
              </w:rPr>
              <w:t>Мотиви</w:t>
            </w:r>
            <w:r w:rsidRPr="0097360B">
              <w:rPr>
                <w:rFonts w:ascii="Times New Roman" w:hAnsi="Times New Roman"/>
                <w:sz w:val="24"/>
                <w:szCs w:val="24"/>
              </w:rPr>
              <w:t>:</w:t>
            </w:r>
            <w:r w:rsidRPr="00E7126C">
              <w:rPr>
                <w:rFonts w:ascii="Times New Roman" w:hAnsi="Times New Roman"/>
                <w:sz w:val="24"/>
                <w:szCs w:val="24"/>
              </w:rPr>
              <w:t xml:space="preserve"> В Бяла книга на </w:t>
            </w:r>
            <w:r w:rsidR="0097360B">
              <w:rPr>
                <w:rFonts w:ascii="Times New Roman" w:hAnsi="Times New Roman"/>
                <w:sz w:val="24"/>
                <w:szCs w:val="24"/>
              </w:rPr>
              <w:t>ЕК</w:t>
            </w:r>
            <w:r w:rsidRPr="00E7126C">
              <w:rPr>
                <w:rFonts w:ascii="Times New Roman" w:hAnsi="Times New Roman"/>
                <w:sz w:val="24"/>
                <w:szCs w:val="24"/>
              </w:rPr>
              <w:t xml:space="preserve"> (Пътна карта за постигането на Единно европейско транспортно пространство) от 28.3.2011г., както и във връзка с </w:t>
            </w:r>
            <w:r w:rsidR="0097360B">
              <w:rPr>
                <w:rFonts w:ascii="Times New Roman" w:hAnsi="Times New Roman"/>
                <w:sz w:val="24"/>
                <w:szCs w:val="24"/>
              </w:rPr>
              <w:t>„</w:t>
            </w:r>
            <w:r w:rsidRPr="00E7126C">
              <w:rPr>
                <w:rFonts w:ascii="Times New Roman" w:hAnsi="Times New Roman"/>
                <w:sz w:val="24"/>
                <w:szCs w:val="24"/>
              </w:rPr>
              <w:t>Пътна карта за постигането на конкурентоспособна икономика с ниска въглеродна интензивност до 2050 г.</w:t>
            </w:r>
            <w:r w:rsidR="0097360B">
              <w:rPr>
                <w:rFonts w:ascii="Times New Roman" w:hAnsi="Times New Roman"/>
                <w:sz w:val="24"/>
                <w:szCs w:val="24"/>
              </w:rPr>
              <w:t>“</w:t>
            </w:r>
            <w:r w:rsidRPr="00E7126C">
              <w:rPr>
                <w:rFonts w:ascii="Times New Roman" w:hAnsi="Times New Roman"/>
                <w:sz w:val="24"/>
                <w:szCs w:val="24"/>
              </w:rPr>
              <w:t xml:space="preserve"> на Е</w:t>
            </w:r>
            <w:r w:rsidR="0097360B">
              <w:rPr>
                <w:rFonts w:ascii="Times New Roman" w:hAnsi="Times New Roman"/>
                <w:sz w:val="24"/>
                <w:szCs w:val="24"/>
              </w:rPr>
              <w:t>К</w:t>
            </w:r>
            <w:r w:rsidRPr="00E7126C">
              <w:rPr>
                <w:rFonts w:ascii="Times New Roman" w:hAnsi="Times New Roman"/>
                <w:sz w:val="24"/>
                <w:szCs w:val="24"/>
              </w:rPr>
              <w:t xml:space="preserve"> от 8.3.2011г. са заложени следните цели, които изискват сериозно планиране, последователност, приемственост и предвидимост в действията на национално ниво</w:t>
            </w:r>
            <w:r>
              <w:rPr>
                <w:rFonts w:ascii="Times New Roman" w:hAnsi="Times New Roman"/>
                <w:sz w:val="24"/>
                <w:szCs w:val="24"/>
              </w:rPr>
              <w:t>:</w:t>
            </w:r>
          </w:p>
          <w:p w:rsidR="00BD63D6" w:rsidRPr="0097360B" w:rsidRDefault="00BD63D6" w:rsidP="00BD63D6">
            <w:pPr>
              <w:rPr>
                <w:rFonts w:ascii="Times New Roman" w:hAnsi="Times New Roman"/>
                <w:sz w:val="24"/>
                <w:szCs w:val="24"/>
              </w:rPr>
            </w:pPr>
            <w:r w:rsidRPr="00E7126C">
              <w:rPr>
                <w:rFonts w:ascii="Times New Roman" w:hAnsi="Times New Roman"/>
                <w:i/>
                <w:iCs/>
                <w:sz w:val="24"/>
                <w:szCs w:val="24"/>
              </w:rPr>
              <w:t>-</w:t>
            </w:r>
            <w:r w:rsidR="0097360B">
              <w:rPr>
                <w:rFonts w:ascii="Times New Roman" w:hAnsi="Times New Roman"/>
                <w:iCs/>
                <w:sz w:val="24"/>
                <w:szCs w:val="24"/>
              </w:rPr>
              <w:t xml:space="preserve"> до</w:t>
            </w:r>
            <w:r w:rsidRPr="00E7126C">
              <w:rPr>
                <w:rFonts w:ascii="Times New Roman" w:hAnsi="Times New Roman"/>
                <w:i/>
                <w:iCs/>
                <w:sz w:val="24"/>
                <w:szCs w:val="24"/>
              </w:rPr>
              <w:t xml:space="preserve">  </w:t>
            </w:r>
            <w:r w:rsidRPr="0097360B">
              <w:rPr>
                <w:rFonts w:ascii="Times New Roman" w:hAnsi="Times New Roman"/>
                <w:iCs/>
                <w:sz w:val="24"/>
                <w:szCs w:val="24"/>
              </w:rPr>
              <w:t>2030 г. </w:t>
            </w:r>
            <w:r w:rsidRPr="0097360B">
              <w:rPr>
                <w:rFonts w:ascii="Times New Roman" w:hAnsi="Times New Roman"/>
                <w:bCs/>
                <w:iCs/>
                <w:sz w:val="24"/>
                <w:szCs w:val="24"/>
              </w:rPr>
              <w:t>30 %</w:t>
            </w:r>
            <w:r w:rsidRPr="0097360B">
              <w:rPr>
                <w:rFonts w:ascii="Times New Roman" w:hAnsi="Times New Roman"/>
                <w:iCs/>
                <w:sz w:val="24"/>
                <w:szCs w:val="24"/>
              </w:rPr>
              <w:t> от товарите в автомобилния транспорт над 300 км трябва да се прехвърлят към други видове транспорт, например железопътен или воден, и </w:t>
            </w:r>
            <w:r w:rsidRPr="0097360B">
              <w:rPr>
                <w:rFonts w:ascii="Times New Roman" w:hAnsi="Times New Roman"/>
                <w:bCs/>
                <w:iCs/>
                <w:sz w:val="24"/>
                <w:szCs w:val="24"/>
              </w:rPr>
              <w:t>50 % до 2050 г.,</w:t>
            </w:r>
            <w:r w:rsidRPr="0097360B">
              <w:rPr>
                <w:rFonts w:ascii="Times New Roman" w:hAnsi="Times New Roman"/>
                <w:iCs/>
                <w:sz w:val="24"/>
                <w:szCs w:val="24"/>
              </w:rPr>
              <w:t> като се улесняват от ефективни и екологични товарни коридори. Постигането на тази цел също така ще изисква развити</w:t>
            </w:r>
            <w:r w:rsidR="0097360B">
              <w:rPr>
                <w:rFonts w:ascii="Times New Roman" w:hAnsi="Times New Roman"/>
                <w:iCs/>
                <w:sz w:val="24"/>
                <w:szCs w:val="24"/>
              </w:rPr>
              <w:t>ето на подходяща инфраструктура;</w:t>
            </w:r>
          </w:p>
          <w:p w:rsidR="00BD63D6" w:rsidRPr="0097360B" w:rsidRDefault="0097360B" w:rsidP="00BD63D6">
            <w:pPr>
              <w:rPr>
                <w:rFonts w:ascii="Times New Roman" w:hAnsi="Times New Roman"/>
                <w:sz w:val="24"/>
                <w:szCs w:val="24"/>
              </w:rPr>
            </w:pPr>
            <w:r w:rsidRPr="0097360B">
              <w:rPr>
                <w:rFonts w:ascii="Times New Roman" w:hAnsi="Times New Roman"/>
                <w:iCs/>
                <w:sz w:val="24"/>
                <w:szCs w:val="24"/>
              </w:rPr>
              <w:t xml:space="preserve">- </w:t>
            </w:r>
            <w:r>
              <w:rPr>
                <w:rFonts w:ascii="Times New Roman" w:hAnsi="Times New Roman"/>
                <w:iCs/>
                <w:sz w:val="24"/>
                <w:szCs w:val="24"/>
              </w:rPr>
              <w:t>д</w:t>
            </w:r>
            <w:r w:rsidR="00BD63D6" w:rsidRPr="0097360B">
              <w:rPr>
                <w:rFonts w:ascii="Times New Roman" w:hAnsi="Times New Roman"/>
                <w:bCs/>
                <w:iCs/>
                <w:sz w:val="24"/>
                <w:szCs w:val="24"/>
              </w:rPr>
              <w:t xml:space="preserve">о 2050 г. да се довърши европейската високоскоростна железопътна мрежа. До 2030 г. да се утрои дължината на наличната високоскоростна </w:t>
            </w:r>
            <w:r w:rsidR="00BD63D6" w:rsidRPr="0097360B">
              <w:rPr>
                <w:rFonts w:ascii="Times New Roman" w:hAnsi="Times New Roman"/>
                <w:bCs/>
                <w:iCs/>
                <w:sz w:val="24"/>
                <w:szCs w:val="24"/>
              </w:rPr>
              <w:lastRenderedPageBreak/>
              <w:t>железопътна мрежа и да се поддържа гъста жп мрежа във всички държави-членки. До 2050 г. по-голямата част от пътническия транспорт на средни разстояния трябва да се осъществява по релсов път.</w:t>
            </w:r>
          </w:p>
          <w:p w:rsidR="00BD63D6" w:rsidRPr="00E60FD8" w:rsidRDefault="0097360B" w:rsidP="0097360B">
            <w:pPr>
              <w:rPr>
                <w:rFonts w:ascii="Times New Roman" w:hAnsi="Times New Roman"/>
                <w:sz w:val="24"/>
                <w:szCs w:val="24"/>
              </w:rPr>
            </w:pPr>
            <w:r>
              <w:rPr>
                <w:rFonts w:ascii="Times New Roman" w:hAnsi="Times New Roman"/>
                <w:iCs/>
                <w:sz w:val="24"/>
                <w:szCs w:val="24"/>
              </w:rPr>
              <w:t>- д</w:t>
            </w:r>
            <w:r w:rsidR="00BD63D6" w:rsidRPr="0097360B">
              <w:rPr>
                <w:rFonts w:ascii="Times New Roman" w:hAnsi="Times New Roman"/>
                <w:iCs/>
                <w:sz w:val="24"/>
                <w:szCs w:val="24"/>
              </w:rPr>
              <w:t>о 2050 г. всички централни мрежови летища да се свържат с железопътната мрежа, за предпочитане с високоскоростната; да се гарантира достатъчната връзка на всички централни мрежови пристанища със системите за железопътен превоз на товари и, където е възможно, с вътрешните водни пътища.</w:t>
            </w:r>
            <w:r>
              <w:rPr>
                <w:rFonts w:ascii="Times New Roman" w:hAnsi="Times New Roman"/>
                <w:iCs/>
                <w:sz w:val="24"/>
                <w:szCs w:val="24"/>
              </w:rPr>
              <w:t>“</w:t>
            </w:r>
          </w:p>
        </w:tc>
        <w:tc>
          <w:tcPr>
            <w:tcW w:w="1843" w:type="dxa"/>
            <w:vMerge/>
          </w:tcPr>
          <w:p w:rsidR="00BD63D6" w:rsidRDefault="00BD63D6" w:rsidP="00BD63D6">
            <w:pPr>
              <w:rPr>
                <w:rFonts w:ascii="Times New Roman" w:hAnsi="Times New Roman" w:cs="Times New Roman"/>
                <w:sz w:val="24"/>
                <w:szCs w:val="24"/>
              </w:rPr>
            </w:pPr>
          </w:p>
        </w:tc>
        <w:tc>
          <w:tcPr>
            <w:tcW w:w="5323" w:type="dxa"/>
            <w:vMerge/>
          </w:tcPr>
          <w:p w:rsidR="00BD63D6" w:rsidRDefault="00BD63D6" w:rsidP="00BD63D6">
            <w:pPr>
              <w:rPr>
                <w:rFonts w:ascii="Times New Roman" w:hAnsi="Times New Roman" w:cs="Times New Roman"/>
                <w:sz w:val="24"/>
                <w:szCs w:val="24"/>
              </w:rPr>
            </w:pPr>
          </w:p>
        </w:tc>
      </w:tr>
      <w:tr w:rsidR="00F97DAA" w:rsidRPr="000C4D15" w:rsidTr="00DA42F9">
        <w:tc>
          <w:tcPr>
            <w:tcW w:w="2014" w:type="dxa"/>
          </w:tcPr>
          <w:p w:rsidR="00F97DAA" w:rsidRDefault="00BD63D6" w:rsidP="00222E65">
            <w:pPr>
              <w:rPr>
                <w:rFonts w:ascii="Times New Roman" w:hAnsi="Times New Roman" w:cs="Times New Roman"/>
                <w:sz w:val="24"/>
                <w:szCs w:val="24"/>
              </w:rPr>
            </w:pPr>
            <w:r>
              <w:rPr>
                <w:rFonts w:ascii="Times New Roman" w:hAnsi="Times New Roman" w:cs="Times New Roman"/>
                <w:sz w:val="24"/>
                <w:szCs w:val="24"/>
              </w:rPr>
              <w:t>ИАЖА</w:t>
            </w:r>
          </w:p>
          <w:p w:rsidR="00F97DAA" w:rsidRPr="00222E65" w:rsidRDefault="00F97DAA" w:rsidP="00222E65">
            <w:pPr>
              <w:rPr>
                <w:rFonts w:ascii="Times New Roman" w:hAnsi="Times New Roman" w:cs="Times New Roman"/>
                <w:sz w:val="24"/>
                <w:szCs w:val="24"/>
              </w:rPr>
            </w:pPr>
          </w:p>
        </w:tc>
        <w:tc>
          <w:tcPr>
            <w:tcW w:w="5954" w:type="dxa"/>
          </w:tcPr>
          <w:p w:rsidR="00681846" w:rsidRDefault="00BD63D6" w:rsidP="00681846">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В чл. 5, т. 6 от ЗЖТ</w:t>
            </w:r>
            <w:r w:rsidR="007F51CB">
              <w:rPr>
                <w:rFonts w:ascii="Times New Roman" w:hAnsi="Times New Roman" w:cs="Times New Roman"/>
                <w:bCs/>
                <w:sz w:val="24"/>
                <w:szCs w:val="24"/>
              </w:rPr>
              <w:t xml:space="preserve">, предвиждаща </w:t>
            </w:r>
            <w:r>
              <w:rPr>
                <w:rFonts w:ascii="Times New Roman" w:hAnsi="Times New Roman" w:cs="Times New Roman"/>
                <w:bCs/>
                <w:sz w:val="24"/>
                <w:szCs w:val="24"/>
              </w:rPr>
              <w:t xml:space="preserve"> </w:t>
            </w:r>
            <w:r w:rsidR="007F51CB">
              <w:rPr>
                <w:rFonts w:ascii="Times New Roman" w:hAnsi="Times New Roman" w:cs="Times New Roman"/>
                <w:bCs/>
                <w:sz w:val="24"/>
                <w:szCs w:val="24"/>
              </w:rPr>
              <w:t>м</w:t>
            </w:r>
            <w:r w:rsidR="007F51CB" w:rsidRPr="007F51CB">
              <w:rPr>
                <w:rFonts w:ascii="Times New Roman" w:hAnsi="Times New Roman" w:cs="Times New Roman"/>
                <w:bCs/>
                <w:sz w:val="24"/>
                <w:szCs w:val="24"/>
              </w:rPr>
              <w:t xml:space="preserve">инистърът на транспорта, информационните технологии и съобщенията </w:t>
            </w:r>
            <w:r w:rsidR="007F51CB">
              <w:rPr>
                <w:rFonts w:ascii="Times New Roman" w:hAnsi="Times New Roman" w:cs="Times New Roman"/>
                <w:bCs/>
                <w:sz w:val="24"/>
                <w:szCs w:val="24"/>
              </w:rPr>
              <w:t xml:space="preserve">да </w:t>
            </w:r>
            <w:r w:rsidR="007F51CB" w:rsidRPr="007F51CB">
              <w:rPr>
                <w:rFonts w:ascii="Times New Roman" w:hAnsi="Times New Roman" w:cs="Times New Roman"/>
                <w:bCs/>
                <w:sz w:val="24"/>
                <w:szCs w:val="24"/>
              </w:rPr>
              <w:t>създава необходимата организация за независимо разследване на тежки железопътни произшествия</w:t>
            </w:r>
            <w:r w:rsidR="007F51CB">
              <w:rPr>
                <w:rFonts w:ascii="Times New Roman" w:hAnsi="Times New Roman" w:cs="Times New Roman"/>
                <w:bCs/>
                <w:sz w:val="24"/>
                <w:szCs w:val="24"/>
              </w:rPr>
              <w:t>,</w:t>
            </w:r>
            <w:r w:rsidR="007F51CB" w:rsidRPr="007F51CB">
              <w:rPr>
                <w:rFonts w:ascii="Times New Roman" w:hAnsi="Times New Roman" w:cs="Times New Roman"/>
                <w:bCs/>
                <w:sz w:val="24"/>
                <w:szCs w:val="24"/>
              </w:rPr>
              <w:t xml:space="preserve"> </w:t>
            </w:r>
            <w:r>
              <w:rPr>
                <w:rFonts w:ascii="Times New Roman" w:hAnsi="Times New Roman" w:cs="Times New Roman"/>
                <w:bCs/>
                <w:sz w:val="24"/>
                <w:szCs w:val="24"/>
              </w:rPr>
              <w:t xml:space="preserve">да се </w:t>
            </w:r>
            <w:r w:rsidR="007B755B">
              <w:rPr>
                <w:rFonts w:ascii="Times New Roman" w:hAnsi="Times New Roman" w:cs="Times New Roman"/>
                <w:bCs/>
                <w:sz w:val="24"/>
                <w:szCs w:val="24"/>
              </w:rPr>
              <w:t>отмени</w:t>
            </w:r>
            <w:r w:rsidR="00AA7814">
              <w:rPr>
                <w:rFonts w:ascii="Times New Roman" w:hAnsi="Times New Roman" w:cs="Times New Roman"/>
                <w:bCs/>
                <w:sz w:val="24"/>
                <w:szCs w:val="24"/>
              </w:rPr>
              <w:t>.</w:t>
            </w:r>
            <w:r w:rsidR="00681846" w:rsidRPr="00AA7814">
              <w:rPr>
                <w:rFonts w:ascii="Times New Roman" w:hAnsi="Times New Roman" w:cs="Times New Roman"/>
                <w:b/>
                <w:bCs/>
                <w:sz w:val="24"/>
                <w:szCs w:val="24"/>
              </w:rPr>
              <w:t xml:space="preserve"> </w:t>
            </w:r>
          </w:p>
          <w:p w:rsidR="00F97DAA" w:rsidRPr="00681846" w:rsidRDefault="00DA42F9" w:rsidP="00681846">
            <w:pPr>
              <w:widowControl w:val="0"/>
              <w:autoSpaceDE w:val="0"/>
              <w:autoSpaceDN w:val="0"/>
              <w:adjustRightInd w:val="0"/>
              <w:rPr>
                <w:rFonts w:ascii="Times New Roman" w:eastAsiaTheme="minorEastAsia" w:hAnsi="Times New Roman" w:cs="Times New Roman"/>
                <w:sz w:val="24"/>
                <w:szCs w:val="24"/>
                <w:lang w:eastAsia="zh-CN"/>
              </w:rPr>
            </w:pPr>
            <w:r w:rsidRPr="00681846">
              <w:rPr>
                <w:rFonts w:ascii="Times New Roman" w:hAnsi="Times New Roman" w:cs="Times New Roman"/>
                <w:bCs/>
                <w:sz w:val="24"/>
                <w:szCs w:val="24"/>
              </w:rPr>
              <w:t xml:space="preserve">Със </w:t>
            </w:r>
            <w:r>
              <w:rPr>
                <w:rFonts w:ascii="Times New Roman" w:hAnsi="Times New Roman" w:cs="Times New Roman"/>
                <w:bCs/>
                <w:sz w:val="24"/>
                <w:szCs w:val="24"/>
              </w:rPr>
              <w:t>създаването на Национален борд за разследване на произшествия във въздушния, водния и железопътния транспорт (НБРПВВЖТ) и приемането с ПМС № 6 от 22.01.2020 г. на Правилник за организацията, структурата и дейността на НБРПВВЖТ, се създаде структура за разследване на тежки железопътни произшествия, независима от министъра на транспорта, информационните технологии и съобщенията.</w:t>
            </w:r>
          </w:p>
        </w:tc>
        <w:tc>
          <w:tcPr>
            <w:tcW w:w="1843" w:type="dxa"/>
          </w:tcPr>
          <w:p w:rsidR="00F97DAA" w:rsidRDefault="00AA7814" w:rsidP="007F51CB">
            <w:pPr>
              <w:jc w:val="center"/>
              <w:rPr>
                <w:rFonts w:ascii="Times New Roman" w:hAnsi="Times New Roman" w:cs="Times New Roman"/>
                <w:sz w:val="24"/>
                <w:szCs w:val="24"/>
              </w:rPr>
            </w:pPr>
            <w:r>
              <w:rPr>
                <w:rFonts w:ascii="Times New Roman" w:hAnsi="Times New Roman" w:cs="Times New Roman"/>
                <w:sz w:val="24"/>
                <w:szCs w:val="24"/>
              </w:rPr>
              <w:t>Приема се</w:t>
            </w:r>
            <w:r w:rsidR="005B54ED">
              <w:rPr>
                <w:rFonts w:ascii="Times New Roman" w:hAnsi="Times New Roman" w:cs="Times New Roman"/>
                <w:sz w:val="24"/>
                <w:szCs w:val="24"/>
              </w:rPr>
              <w:t>.</w:t>
            </w:r>
          </w:p>
        </w:tc>
        <w:tc>
          <w:tcPr>
            <w:tcW w:w="5323" w:type="dxa"/>
          </w:tcPr>
          <w:p w:rsidR="00AA7814" w:rsidRPr="007B755B" w:rsidRDefault="00AA7814" w:rsidP="007B755B">
            <w:pPr>
              <w:rPr>
                <w:rFonts w:ascii="Times New Roman" w:hAnsi="Times New Roman" w:cs="Times New Roman"/>
                <w:bCs/>
                <w:sz w:val="24"/>
                <w:szCs w:val="24"/>
              </w:rPr>
            </w:pPr>
          </w:p>
        </w:tc>
      </w:tr>
      <w:tr w:rsidR="009C1CA0" w:rsidRPr="000C4D15" w:rsidTr="00DA42F9">
        <w:tc>
          <w:tcPr>
            <w:tcW w:w="2014" w:type="dxa"/>
          </w:tcPr>
          <w:p w:rsidR="009C1CA0" w:rsidRDefault="007B755B" w:rsidP="00222E65">
            <w:pPr>
              <w:rPr>
                <w:rFonts w:ascii="Times New Roman" w:hAnsi="Times New Roman" w:cs="Times New Roman"/>
                <w:sz w:val="24"/>
                <w:szCs w:val="24"/>
              </w:rPr>
            </w:pPr>
            <w:r>
              <w:rPr>
                <w:rFonts w:ascii="Times New Roman" w:hAnsi="Times New Roman" w:cs="Times New Roman"/>
                <w:sz w:val="24"/>
                <w:szCs w:val="24"/>
              </w:rPr>
              <w:t>ИАЖА</w:t>
            </w:r>
          </w:p>
        </w:tc>
        <w:tc>
          <w:tcPr>
            <w:tcW w:w="5954" w:type="dxa"/>
          </w:tcPr>
          <w:p w:rsidR="00400100" w:rsidRPr="007F51CB" w:rsidRDefault="00400100" w:rsidP="007F51CB">
            <w:pPr>
              <w:rPr>
                <w:rFonts w:ascii="Times New Roman" w:eastAsiaTheme="minorEastAsia" w:hAnsi="Times New Roman" w:cs="Times New Roman"/>
                <w:sz w:val="24"/>
                <w:szCs w:val="24"/>
                <w:lang w:eastAsia="zh-CN"/>
              </w:rPr>
            </w:pPr>
            <w:r w:rsidRPr="00400100">
              <w:rPr>
                <w:rFonts w:ascii="Times New Roman" w:hAnsi="Times New Roman" w:cs="Times New Roman"/>
                <w:bCs/>
                <w:sz w:val="24"/>
                <w:szCs w:val="24"/>
              </w:rPr>
              <w:t xml:space="preserve">В чл. 50, ал. 1, т. </w:t>
            </w:r>
            <w:r w:rsidR="007F51CB">
              <w:rPr>
                <w:rFonts w:ascii="Times New Roman" w:hAnsi="Times New Roman" w:cs="Times New Roman"/>
                <w:bCs/>
                <w:sz w:val="24"/>
                <w:szCs w:val="24"/>
              </w:rPr>
              <w:t>3, предвиждаща в</w:t>
            </w:r>
            <w:r w:rsidRPr="00400100">
              <w:rPr>
                <w:rFonts w:ascii="Times New Roman" w:hAnsi="Times New Roman" w:cs="Times New Roman"/>
                <w:sz w:val="24"/>
                <w:szCs w:val="24"/>
              </w:rPr>
              <w:t xml:space="preserve"> кабината на локомотива по време на движение да има </w:t>
            </w:r>
            <w:r w:rsidRPr="007F51CB">
              <w:rPr>
                <w:rFonts w:ascii="Times New Roman" w:eastAsiaTheme="minorEastAsia" w:hAnsi="Times New Roman" w:cs="Times New Roman"/>
                <w:sz w:val="24"/>
                <w:szCs w:val="24"/>
                <w:lang w:eastAsia="zh-CN"/>
              </w:rPr>
              <w:t>разрешение за въвеждане на локомотива в експлоатация</w:t>
            </w:r>
            <w:r w:rsidR="007F51CB">
              <w:rPr>
                <w:rFonts w:ascii="Times New Roman" w:eastAsiaTheme="minorEastAsia" w:hAnsi="Times New Roman" w:cs="Times New Roman"/>
                <w:sz w:val="24"/>
                <w:szCs w:val="24"/>
                <w:lang w:eastAsia="zh-CN"/>
              </w:rPr>
              <w:t>, да се отмени.</w:t>
            </w:r>
          </w:p>
          <w:p w:rsidR="00DA42F9" w:rsidRDefault="007F51CB" w:rsidP="007F51CB">
            <w:pPr>
              <w:rPr>
                <w:rFonts w:ascii="Times New Roman" w:hAnsi="Times New Roman" w:cs="Times New Roman"/>
                <w:iCs/>
                <w:sz w:val="24"/>
                <w:szCs w:val="24"/>
              </w:rPr>
            </w:pPr>
            <w:r>
              <w:rPr>
                <w:rFonts w:ascii="Times New Roman" w:hAnsi="Times New Roman" w:cs="Times New Roman"/>
                <w:iCs/>
                <w:sz w:val="24"/>
                <w:szCs w:val="24"/>
              </w:rPr>
              <w:t xml:space="preserve">Съгласно член 21 от </w:t>
            </w:r>
            <w:r w:rsidRPr="00400100">
              <w:rPr>
                <w:rFonts w:ascii="Times New Roman" w:hAnsi="Times New Roman" w:cs="Times New Roman"/>
                <w:iCs/>
                <w:sz w:val="24"/>
                <w:szCs w:val="24"/>
              </w:rPr>
              <w:t>Директива (ЕС) 2016/797 на Европейския парламент и на Съвета от 11 май 2016 година относно оперативната съвместимост на железопътната система в рамките на Европейския съюз</w:t>
            </w:r>
            <w:r>
              <w:rPr>
                <w:rFonts w:ascii="Times New Roman" w:hAnsi="Times New Roman" w:cs="Times New Roman"/>
                <w:iCs/>
                <w:sz w:val="24"/>
                <w:szCs w:val="24"/>
              </w:rPr>
              <w:t xml:space="preserve"> (Директива 2016/797), локомотивите следва да </w:t>
            </w:r>
            <w:r w:rsidRPr="007F51CB">
              <w:rPr>
                <w:rFonts w:ascii="Times New Roman" w:hAnsi="Times New Roman" w:cs="Times New Roman"/>
                <w:iCs/>
                <w:sz w:val="24"/>
                <w:szCs w:val="24"/>
              </w:rPr>
              <w:t xml:space="preserve">имат разрешение за пускане на пазара. </w:t>
            </w:r>
          </w:p>
          <w:p w:rsidR="00400100" w:rsidRPr="00400100" w:rsidRDefault="007F51CB" w:rsidP="00DA42F9">
            <w:pPr>
              <w:rPr>
                <w:rFonts w:ascii="Times New Roman" w:hAnsi="Times New Roman" w:cs="Times New Roman"/>
                <w:bCs/>
                <w:sz w:val="24"/>
                <w:szCs w:val="24"/>
              </w:rPr>
            </w:pPr>
            <w:r w:rsidRPr="007F51CB">
              <w:rPr>
                <w:rFonts w:ascii="Times New Roman" w:hAnsi="Times New Roman" w:cs="Times New Roman"/>
                <w:iCs/>
                <w:sz w:val="24"/>
                <w:szCs w:val="24"/>
              </w:rPr>
              <w:t>Разрешение</w:t>
            </w:r>
            <w:r w:rsidRPr="0074157D">
              <w:rPr>
                <w:rFonts w:ascii="Times New Roman" w:hAnsi="Times New Roman" w:cs="Times New Roman"/>
                <w:iCs/>
                <w:sz w:val="24"/>
                <w:szCs w:val="24"/>
              </w:rPr>
              <w:t xml:space="preserve"> за</w:t>
            </w:r>
            <w:r>
              <w:rPr>
                <w:rFonts w:ascii="Times New Roman" w:hAnsi="Times New Roman" w:cs="Times New Roman"/>
                <w:b/>
                <w:iCs/>
                <w:sz w:val="24"/>
                <w:szCs w:val="24"/>
              </w:rPr>
              <w:t xml:space="preserve"> </w:t>
            </w:r>
            <w:r w:rsidRPr="0074157D">
              <w:rPr>
                <w:rFonts w:ascii="Times New Roman" w:hAnsi="Times New Roman" w:cs="Times New Roman"/>
                <w:iCs/>
                <w:sz w:val="24"/>
                <w:szCs w:val="24"/>
              </w:rPr>
              <w:t xml:space="preserve">въвеждане в експлоатация </w:t>
            </w:r>
            <w:r>
              <w:rPr>
                <w:rFonts w:ascii="Times New Roman" w:hAnsi="Times New Roman" w:cs="Times New Roman"/>
                <w:iCs/>
                <w:sz w:val="24"/>
                <w:szCs w:val="24"/>
              </w:rPr>
              <w:t xml:space="preserve">на железопътно превозно средство </w:t>
            </w:r>
            <w:r w:rsidRPr="0074157D">
              <w:rPr>
                <w:rFonts w:ascii="Times New Roman" w:hAnsi="Times New Roman" w:cs="Times New Roman"/>
                <w:iCs/>
                <w:sz w:val="24"/>
                <w:szCs w:val="24"/>
              </w:rPr>
              <w:t xml:space="preserve">се издаваше от Националния орган по </w:t>
            </w:r>
            <w:r>
              <w:rPr>
                <w:rFonts w:ascii="Times New Roman" w:hAnsi="Times New Roman" w:cs="Times New Roman"/>
                <w:iCs/>
                <w:sz w:val="24"/>
                <w:szCs w:val="24"/>
              </w:rPr>
              <w:t xml:space="preserve">безопасност (НОБ) съгласно </w:t>
            </w:r>
            <w:r w:rsidRPr="00A77773">
              <w:rPr>
                <w:rFonts w:ascii="Times New Roman" w:hAnsi="Times New Roman" w:cs="Times New Roman"/>
                <w:iCs/>
                <w:sz w:val="24"/>
                <w:szCs w:val="24"/>
              </w:rPr>
              <w:t xml:space="preserve">Директива 2008/57/ЕО </w:t>
            </w:r>
            <w:r>
              <w:rPr>
                <w:rFonts w:ascii="Times New Roman" w:hAnsi="Times New Roman" w:cs="Times New Roman"/>
                <w:iCs/>
                <w:sz w:val="24"/>
                <w:szCs w:val="24"/>
              </w:rPr>
              <w:t>на</w:t>
            </w:r>
            <w:r w:rsidRPr="00A77773">
              <w:rPr>
                <w:rFonts w:ascii="Times New Roman" w:hAnsi="Times New Roman" w:cs="Times New Roman"/>
                <w:iCs/>
                <w:sz w:val="24"/>
                <w:szCs w:val="24"/>
              </w:rPr>
              <w:t xml:space="preserve"> Европейския парламент и на Съвета от 17 юни 2008 година относно оперативната съвместимост на железопътната система в рамките на Общността</w:t>
            </w:r>
            <w:r w:rsidR="00DA42F9">
              <w:rPr>
                <w:rFonts w:ascii="Times New Roman" w:hAnsi="Times New Roman" w:cs="Times New Roman"/>
                <w:iCs/>
                <w:sz w:val="24"/>
                <w:szCs w:val="24"/>
              </w:rPr>
              <w:t xml:space="preserve"> (Директива 2008/57), но с </w:t>
            </w:r>
            <w:r>
              <w:rPr>
                <w:rFonts w:ascii="Times New Roman" w:hAnsi="Times New Roman" w:cs="Times New Roman"/>
                <w:iCs/>
                <w:sz w:val="24"/>
                <w:szCs w:val="24"/>
              </w:rPr>
              <w:t xml:space="preserve">директива 2016/797 се отменя Директива 2008/57 и за локомотивите няма да се издават разрешения за въвеждане в експлоатация от НОБ. </w:t>
            </w:r>
          </w:p>
        </w:tc>
        <w:tc>
          <w:tcPr>
            <w:tcW w:w="1843" w:type="dxa"/>
          </w:tcPr>
          <w:p w:rsidR="009C1CA0" w:rsidRPr="005754A8" w:rsidRDefault="00400100" w:rsidP="007F51CB">
            <w:pPr>
              <w:jc w:val="center"/>
              <w:rPr>
                <w:rFonts w:ascii="Times New Roman" w:hAnsi="Times New Roman" w:cs="Times New Roman"/>
                <w:sz w:val="24"/>
                <w:szCs w:val="24"/>
              </w:rPr>
            </w:pPr>
            <w:r>
              <w:rPr>
                <w:rFonts w:ascii="Times New Roman" w:hAnsi="Times New Roman" w:cs="Times New Roman"/>
                <w:sz w:val="24"/>
                <w:szCs w:val="24"/>
              </w:rPr>
              <w:t>П</w:t>
            </w:r>
            <w:r w:rsidR="00F87895">
              <w:rPr>
                <w:rFonts w:ascii="Times New Roman" w:hAnsi="Times New Roman" w:cs="Times New Roman"/>
                <w:sz w:val="24"/>
                <w:szCs w:val="24"/>
              </w:rPr>
              <w:t>риема</w:t>
            </w:r>
            <w:r>
              <w:rPr>
                <w:rFonts w:ascii="Times New Roman" w:hAnsi="Times New Roman" w:cs="Times New Roman"/>
                <w:sz w:val="24"/>
                <w:szCs w:val="24"/>
              </w:rPr>
              <w:t xml:space="preserve"> се</w:t>
            </w:r>
            <w:r w:rsidR="005B54ED">
              <w:rPr>
                <w:rFonts w:ascii="Times New Roman" w:hAnsi="Times New Roman" w:cs="Times New Roman"/>
                <w:sz w:val="24"/>
                <w:szCs w:val="24"/>
              </w:rPr>
              <w:t>.</w:t>
            </w:r>
          </w:p>
        </w:tc>
        <w:tc>
          <w:tcPr>
            <w:tcW w:w="5323" w:type="dxa"/>
          </w:tcPr>
          <w:p w:rsidR="00F87895" w:rsidRPr="00F87895" w:rsidRDefault="00F87895" w:rsidP="00A77773">
            <w:pPr>
              <w:rPr>
                <w:rFonts w:ascii="Times New Roman" w:hAnsi="Times New Roman" w:cs="Times New Roman"/>
                <w:iCs/>
                <w:sz w:val="24"/>
                <w:szCs w:val="24"/>
              </w:rPr>
            </w:pPr>
          </w:p>
        </w:tc>
      </w:tr>
      <w:tr w:rsidR="00CE0322" w:rsidRPr="000C4D15" w:rsidTr="00DA42F9">
        <w:tc>
          <w:tcPr>
            <w:tcW w:w="2014" w:type="dxa"/>
          </w:tcPr>
          <w:p w:rsidR="00DA42F9" w:rsidRDefault="00CE0322" w:rsidP="00DA42F9">
            <w:pPr>
              <w:rPr>
                <w:rFonts w:ascii="Times New Roman" w:hAnsi="Times New Roman" w:cs="Times New Roman"/>
                <w:sz w:val="24"/>
                <w:szCs w:val="24"/>
              </w:rPr>
            </w:pPr>
            <w:r>
              <w:rPr>
                <w:rFonts w:ascii="Times New Roman" w:hAnsi="Times New Roman" w:cs="Times New Roman"/>
                <w:sz w:val="24"/>
                <w:szCs w:val="24"/>
              </w:rPr>
              <w:t>Н</w:t>
            </w:r>
            <w:r w:rsidR="002C7A70">
              <w:rPr>
                <w:rFonts w:ascii="Times New Roman" w:hAnsi="Times New Roman" w:cs="Times New Roman"/>
                <w:sz w:val="24"/>
                <w:szCs w:val="24"/>
              </w:rPr>
              <w:t>ационална компания „Железопътна инфраструктура“</w:t>
            </w:r>
            <w:r w:rsidR="00BA79A9">
              <w:rPr>
                <w:rFonts w:ascii="Times New Roman" w:hAnsi="Times New Roman" w:cs="Times New Roman"/>
                <w:sz w:val="24"/>
                <w:szCs w:val="24"/>
              </w:rPr>
              <w:t xml:space="preserve"> </w:t>
            </w:r>
          </w:p>
          <w:p w:rsidR="00CE0322" w:rsidRDefault="00CE0322" w:rsidP="00222E65">
            <w:pPr>
              <w:rPr>
                <w:rFonts w:ascii="Times New Roman" w:hAnsi="Times New Roman" w:cs="Times New Roman"/>
                <w:sz w:val="24"/>
                <w:szCs w:val="24"/>
              </w:rPr>
            </w:pPr>
          </w:p>
        </w:tc>
        <w:tc>
          <w:tcPr>
            <w:tcW w:w="5954" w:type="dxa"/>
          </w:tcPr>
          <w:p w:rsidR="00CE0322" w:rsidRPr="00400100" w:rsidRDefault="00CE0322" w:rsidP="005B54ED">
            <w:pPr>
              <w:rPr>
                <w:rFonts w:ascii="Times New Roman" w:hAnsi="Times New Roman" w:cs="Times New Roman"/>
                <w:bCs/>
                <w:sz w:val="24"/>
                <w:szCs w:val="24"/>
              </w:rPr>
            </w:pPr>
            <w:r>
              <w:rPr>
                <w:rFonts w:ascii="Times New Roman" w:hAnsi="Times New Roman" w:cs="Times New Roman"/>
                <w:bCs/>
                <w:sz w:val="24"/>
                <w:szCs w:val="24"/>
              </w:rPr>
              <w:t>Не намираме да е включено направеното от нас предложение (писмо изх. № ЖИ-40085/1</w:t>
            </w:r>
            <w:r w:rsidR="00D75D38">
              <w:rPr>
                <w:rFonts w:ascii="Times New Roman" w:hAnsi="Times New Roman" w:cs="Times New Roman"/>
                <w:bCs/>
                <w:sz w:val="24"/>
                <w:szCs w:val="24"/>
              </w:rPr>
              <w:t>4</w:t>
            </w:r>
            <w:r>
              <w:rPr>
                <w:rFonts w:ascii="Times New Roman" w:hAnsi="Times New Roman" w:cs="Times New Roman"/>
                <w:bCs/>
                <w:sz w:val="24"/>
                <w:szCs w:val="24"/>
              </w:rPr>
              <w:t>.11.2019 г.) за удължаване, за срок от още 5 години, считано от 4 декември 2019 г., отлагане на прилагането на член 21, пар. 1 от Регламент (ЕО) № 1371/2007 по разпоредбите на чл. 140, т. 3 от ЗЖТ.</w:t>
            </w:r>
            <w:r w:rsidR="00C548D8">
              <w:rPr>
                <w:rFonts w:ascii="Times New Roman" w:hAnsi="Times New Roman" w:cs="Times New Roman"/>
                <w:bCs/>
                <w:sz w:val="24"/>
                <w:szCs w:val="24"/>
              </w:rPr>
              <w:t xml:space="preserve"> </w:t>
            </w:r>
          </w:p>
        </w:tc>
        <w:tc>
          <w:tcPr>
            <w:tcW w:w="1843" w:type="dxa"/>
          </w:tcPr>
          <w:p w:rsidR="00CE0322" w:rsidRPr="00C548D8" w:rsidRDefault="001D6D80" w:rsidP="00DA42F9">
            <w:pPr>
              <w:jc w:val="center"/>
              <w:rPr>
                <w:rFonts w:ascii="Times New Roman" w:hAnsi="Times New Roman" w:cs="Times New Roman"/>
                <w:sz w:val="24"/>
                <w:szCs w:val="24"/>
              </w:rPr>
            </w:pPr>
            <w:r>
              <w:rPr>
                <w:rFonts w:ascii="Times New Roman" w:hAnsi="Times New Roman" w:cs="Times New Roman"/>
                <w:sz w:val="24"/>
                <w:szCs w:val="24"/>
              </w:rPr>
              <w:t>Приема се</w:t>
            </w:r>
            <w:r w:rsidR="00DA42F9">
              <w:rPr>
                <w:rFonts w:ascii="Times New Roman" w:hAnsi="Times New Roman" w:cs="Times New Roman"/>
                <w:sz w:val="24"/>
                <w:szCs w:val="24"/>
              </w:rPr>
              <w:t>.</w:t>
            </w:r>
          </w:p>
        </w:tc>
        <w:tc>
          <w:tcPr>
            <w:tcW w:w="5323" w:type="dxa"/>
          </w:tcPr>
          <w:p w:rsidR="000A2B5D" w:rsidRPr="000A2B5D" w:rsidRDefault="000A2B5D" w:rsidP="00F73D76">
            <w:pPr>
              <w:rPr>
                <w:rFonts w:ascii="Times New Roman" w:hAnsi="Times New Roman" w:cs="Times New Roman"/>
                <w:iCs/>
                <w:sz w:val="24"/>
                <w:szCs w:val="24"/>
              </w:rPr>
            </w:pPr>
          </w:p>
        </w:tc>
      </w:tr>
      <w:tr w:rsidR="00BA79A9" w:rsidRPr="000C4D15" w:rsidTr="00DA42F9">
        <w:tc>
          <w:tcPr>
            <w:tcW w:w="2014" w:type="dxa"/>
          </w:tcPr>
          <w:p w:rsidR="00BA79A9" w:rsidRDefault="00BA79A9" w:rsidP="00222E65">
            <w:pPr>
              <w:rPr>
                <w:rFonts w:ascii="Times New Roman" w:hAnsi="Times New Roman" w:cs="Times New Roman"/>
                <w:sz w:val="24"/>
                <w:szCs w:val="24"/>
              </w:rPr>
            </w:pPr>
            <w:r>
              <w:rPr>
                <w:rFonts w:ascii="Times New Roman" w:hAnsi="Times New Roman" w:cs="Times New Roman"/>
                <w:sz w:val="24"/>
                <w:szCs w:val="24"/>
              </w:rPr>
              <w:t>СНЦ „Асоциация на предприятията в железопътния превоз“</w:t>
            </w:r>
          </w:p>
          <w:p w:rsidR="00670208" w:rsidRDefault="00670208" w:rsidP="00222E65">
            <w:pPr>
              <w:rPr>
                <w:rFonts w:ascii="Times New Roman" w:hAnsi="Times New Roman" w:cs="Times New Roman"/>
                <w:sz w:val="24"/>
                <w:szCs w:val="24"/>
              </w:rPr>
            </w:pPr>
          </w:p>
        </w:tc>
        <w:tc>
          <w:tcPr>
            <w:tcW w:w="5954" w:type="dxa"/>
          </w:tcPr>
          <w:p w:rsidR="001D5A15" w:rsidRPr="001D5A15" w:rsidRDefault="001D5A15" w:rsidP="001D5A15">
            <w:pPr>
              <w:rPr>
                <w:rFonts w:ascii="Times New Roman" w:hAnsi="Times New Roman" w:cs="Times New Roman"/>
                <w:bCs/>
                <w:sz w:val="24"/>
                <w:szCs w:val="24"/>
              </w:rPr>
            </w:pPr>
            <w:r>
              <w:rPr>
                <w:rFonts w:ascii="Times New Roman" w:hAnsi="Times New Roman" w:cs="Times New Roman"/>
                <w:bCs/>
                <w:sz w:val="24"/>
                <w:szCs w:val="24"/>
              </w:rPr>
              <w:t>В чл. 117 от ЗЖТ са направени следните изменения и допълнения:</w:t>
            </w:r>
          </w:p>
          <w:p w:rsidR="001D5A15" w:rsidRPr="001D5A15" w:rsidRDefault="00DA42F9" w:rsidP="00DA42F9">
            <w:pPr>
              <w:rPr>
                <w:rFonts w:ascii="Times New Roman" w:hAnsi="Times New Roman" w:cs="Times New Roman"/>
                <w:bCs/>
                <w:sz w:val="24"/>
                <w:szCs w:val="24"/>
              </w:rPr>
            </w:pPr>
            <w:r>
              <w:rPr>
                <w:rFonts w:ascii="Times New Roman" w:hAnsi="Times New Roman" w:cs="Times New Roman"/>
                <w:bCs/>
                <w:sz w:val="24"/>
                <w:szCs w:val="24"/>
              </w:rPr>
              <w:t xml:space="preserve">1. </w:t>
            </w:r>
            <w:r w:rsidR="001D5A15" w:rsidRPr="001D5A15">
              <w:rPr>
                <w:rFonts w:ascii="Times New Roman" w:hAnsi="Times New Roman" w:cs="Times New Roman"/>
                <w:bCs/>
                <w:sz w:val="24"/>
                <w:szCs w:val="24"/>
              </w:rPr>
              <w:t>Създава се нова ал. 3:</w:t>
            </w:r>
          </w:p>
          <w:p w:rsidR="001D5A15" w:rsidRDefault="001D5A15" w:rsidP="001D5A15">
            <w:pPr>
              <w:rPr>
                <w:rFonts w:ascii="Times New Roman" w:hAnsi="Times New Roman" w:cs="Times New Roman"/>
                <w:bCs/>
                <w:sz w:val="24"/>
                <w:szCs w:val="24"/>
              </w:rPr>
            </w:pPr>
            <w:r w:rsidRPr="001D5A15">
              <w:rPr>
                <w:rFonts w:ascii="Times New Roman" w:hAnsi="Times New Roman" w:cs="Times New Roman"/>
                <w:bCs/>
                <w:sz w:val="24"/>
                <w:szCs w:val="24"/>
              </w:rPr>
              <w:t>„(3) При констатиране на нарушение, свързано с безопасността на движението и сигурността на превозите, от което може да настъпи тежко железопътно произшествие или е настъпило такова, или се създава опасност за живота или здравето на гражданите, или може да последва значителна или трудно поправима вреда, изпълнителният директор на Изпълнителна агенция „Железопътна администрация“ издава задължителни предписания с определяне на срокове и отговорни органи или лица за изпълнението им, като може да разпорежда:</w:t>
            </w:r>
          </w:p>
          <w:p w:rsidR="001D5A15" w:rsidRDefault="001D5A15" w:rsidP="001D5A15">
            <w:pPr>
              <w:rPr>
                <w:rFonts w:ascii="Times New Roman" w:hAnsi="Times New Roman" w:cs="Times New Roman"/>
                <w:bCs/>
                <w:sz w:val="24"/>
                <w:szCs w:val="24"/>
              </w:rPr>
            </w:pPr>
            <w:r>
              <w:rPr>
                <w:rFonts w:ascii="Times New Roman" w:hAnsi="Times New Roman" w:cs="Times New Roman"/>
                <w:bCs/>
                <w:sz w:val="24"/>
                <w:szCs w:val="24"/>
              </w:rPr>
              <w:t>…………………………………………………………..“</w:t>
            </w:r>
          </w:p>
          <w:p w:rsidR="001D5A15" w:rsidRPr="001D5A15" w:rsidRDefault="00DA42F9" w:rsidP="00DA42F9">
            <w:pPr>
              <w:spacing w:after="200" w:line="276" w:lineRule="auto"/>
              <w:contextualSpacing/>
              <w:jc w:val="left"/>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w:t>
            </w:r>
            <w:r w:rsidR="001D5A15" w:rsidRPr="001D5A15">
              <w:rPr>
                <w:rFonts w:ascii="Times New Roman" w:eastAsiaTheme="minorEastAsia" w:hAnsi="Times New Roman" w:cs="Times New Roman"/>
                <w:sz w:val="24"/>
                <w:szCs w:val="24"/>
                <w:lang w:eastAsia="bg-BG"/>
              </w:rPr>
              <w:t>Създава се ал. 4:</w:t>
            </w:r>
          </w:p>
          <w:p w:rsidR="001D5A15" w:rsidRPr="001D5A15" w:rsidRDefault="001D5A15" w:rsidP="00C848F2">
            <w:pPr>
              <w:rPr>
                <w:rFonts w:ascii="Times New Roman" w:eastAsiaTheme="minorEastAsia" w:hAnsi="Times New Roman" w:cs="Times New Roman"/>
                <w:sz w:val="24"/>
                <w:szCs w:val="24"/>
                <w:lang w:eastAsia="bg-BG"/>
              </w:rPr>
            </w:pPr>
            <w:r w:rsidRPr="001D5A15">
              <w:rPr>
                <w:rFonts w:ascii="Times New Roman" w:eastAsiaTheme="minorEastAsia" w:hAnsi="Times New Roman" w:cs="Times New Roman"/>
                <w:sz w:val="24"/>
                <w:szCs w:val="24"/>
                <w:lang w:eastAsia="bg-BG"/>
              </w:rPr>
              <w:t>„(4) Задължителните предписания по ал. 2, т. 14 и ал. 3 подлежат на обжалване по реда на Административнопроцесуалния кодекс, като обжалването на предписанията по ал. 3 не спира тяхното изпълнение.“</w:t>
            </w:r>
          </w:p>
          <w:p w:rsidR="00BA79A9" w:rsidRDefault="00C848F2" w:rsidP="009C0D09">
            <w:pPr>
              <w:rPr>
                <w:rFonts w:ascii="Times New Roman" w:hAnsi="Times New Roman" w:cs="Times New Roman"/>
                <w:bCs/>
                <w:sz w:val="24"/>
                <w:szCs w:val="24"/>
              </w:rPr>
            </w:pPr>
            <w:r>
              <w:rPr>
                <w:rFonts w:ascii="Times New Roman" w:hAnsi="Times New Roman" w:cs="Times New Roman"/>
                <w:bCs/>
                <w:sz w:val="24"/>
                <w:szCs w:val="24"/>
              </w:rPr>
              <w:t xml:space="preserve">    </w:t>
            </w:r>
            <w:r w:rsidR="009C0D09">
              <w:rPr>
                <w:rFonts w:ascii="Times New Roman" w:hAnsi="Times New Roman" w:cs="Times New Roman"/>
                <w:bCs/>
                <w:sz w:val="24"/>
                <w:szCs w:val="24"/>
              </w:rPr>
              <w:t>Категорично сме против въвеждане на предварително изпълнение на предписанията, издадени от изпълнителния директор на ИА</w:t>
            </w:r>
            <w:r w:rsidR="00DA42F9">
              <w:rPr>
                <w:rFonts w:ascii="Times New Roman" w:hAnsi="Times New Roman" w:cs="Times New Roman"/>
                <w:bCs/>
                <w:sz w:val="24"/>
                <w:szCs w:val="24"/>
              </w:rPr>
              <w:t>ЖА</w:t>
            </w:r>
            <w:r w:rsidR="009C0D09">
              <w:rPr>
                <w:rFonts w:ascii="Times New Roman" w:hAnsi="Times New Roman" w:cs="Times New Roman"/>
                <w:bCs/>
                <w:sz w:val="24"/>
                <w:szCs w:val="24"/>
              </w:rPr>
              <w:t>. Считаме, че всички разпоредби във връзка с прилагане на административнонаказателно производство при нарушения</w:t>
            </w:r>
            <w:r>
              <w:rPr>
                <w:rFonts w:ascii="Times New Roman" w:hAnsi="Times New Roman" w:cs="Times New Roman"/>
                <w:bCs/>
                <w:sz w:val="24"/>
                <w:szCs w:val="24"/>
              </w:rPr>
              <w:t>, свързани с безопасността на движението и сигурността на превозите, включително въвеждането на предварителното изпълнение на предписанията, издадени от изпълнителния директор на ИАЖ</w:t>
            </w:r>
            <w:r w:rsidR="00DA42F9">
              <w:rPr>
                <w:rFonts w:ascii="Times New Roman" w:hAnsi="Times New Roman" w:cs="Times New Roman"/>
                <w:bCs/>
                <w:sz w:val="24"/>
                <w:szCs w:val="24"/>
              </w:rPr>
              <w:t>А</w:t>
            </w:r>
            <w:r>
              <w:rPr>
                <w:rFonts w:ascii="Times New Roman" w:hAnsi="Times New Roman" w:cs="Times New Roman"/>
                <w:bCs/>
                <w:sz w:val="24"/>
                <w:szCs w:val="24"/>
              </w:rPr>
              <w:t xml:space="preserve"> следва да бъдат съобразени с Директива (ЕС) 2016/798 относно безопасността на железопътния транспорт. Съгласно член 17, параграф 6 от директивата „</w:t>
            </w:r>
            <w:r w:rsidRPr="00C848F2">
              <w:rPr>
                <w:rFonts w:ascii="Times New Roman" w:hAnsi="Times New Roman" w:cs="Times New Roman"/>
                <w:bCs/>
                <w:sz w:val="24"/>
                <w:szCs w:val="24"/>
              </w:rPr>
              <w:t>Ако по време на надзора националният орган по безопасността установи сериозен риск за безопасността, той може по всяко време да приложи временни мерки за безопасност, включително незабавно ограничаване или преустановяване на съответните операции.</w:t>
            </w:r>
            <w:r>
              <w:rPr>
                <w:rFonts w:ascii="Times New Roman" w:hAnsi="Times New Roman" w:cs="Times New Roman"/>
                <w:bCs/>
                <w:sz w:val="24"/>
                <w:szCs w:val="24"/>
              </w:rPr>
              <w:t>“ Националният орган по безопасността (НОБ) е задължен да направи това</w:t>
            </w:r>
            <w:r w:rsidR="00DA42F9">
              <w:rPr>
                <w:rFonts w:ascii="Times New Roman" w:hAnsi="Times New Roman" w:cs="Times New Roman"/>
                <w:bCs/>
                <w:sz w:val="24"/>
                <w:szCs w:val="24"/>
              </w:rPr>
              <w:t>,</w:t>
            </w:r>
            <w:r>
              <w:rPr>
                <w:rFonts w:ascii="Times New Roman" w:hAnsi="Times New Roman" w:cs="Times New Roman"/>
                <w:bCs/>
                <w:sz w:val="24"/>
                <w:szCs w:val="24"/>
              </w:rPr>
              <w:t xml:space="preserve"> когато се установи „сериозен риск за безопасността“. Съгласно съображение (29) от директивата „</w:t>
            </w:r>
            <w:r w:rsidRPr="00C848F2">
              <w:rPr>
                <w:rFonts w:ascii="Times New Roman" w:hAnsi="Times New Roman" w:cs="Times New Roman"/>
                <w:bCs/>
                <w:sz w:val="24"/>
                <w:szCs w:val="24"/>
              </w:rPr>
              <w:t>В този контекст сериозен риск за безопасността следва да се разбира като сериозен случай на неспазване на правните задължения или изискванията за безопасност, който може сам по себе си или при поредица от последователни събития да причини произшествие или тежко произшествие.</w:t>
            </w:r>
            <w:r>
              <w:rPr>
                <w:rFonts w:ascii="Times New Roman" w:hAnsi="Times New Roman" w:cs="Times New Roman"/>
                <w:bCs/>
                <w:sz w:val="24"/>
                <w:szCs w:val="24"/>
              </w:rPr>
              <w:t>“</w:t>
            </w:r>
          </w:p>
          <w:p w:rsidR="00B6561C" w:rsidRPr="00CB55D7" w:rsidRDefault="00C848F2" w:rsidP="00DA42F9">
            <w:pPr>
              <w:rPr>
                <w:rFonts w:ascii="Times New Roman" w:hAnsi="Times New Roman" w:cs="Times New Roman"/>
                <w:bCs/>
                <w:sz w:val="24"/>
                <w:szCs w:val="24"/>
              </w:rPr>
            </w:pPr>
            <w:r>
              <w:rPr>
                <w:rFonts w:ascii="Times New Roman" w:hAnsi="Times New Roman" w:cs="Times New Roman"/>
                <w:bCs/>
                <w:sz w:val="24"/>
                <w:szCs w:val="24"/>
              </w:rPr>
              <w:t xml:space="preserve">        </w:t>
            </w:r>
            <w:r w:rsidR="00DA42F9">
              <w:rPr>
                <w:rFonts w:ascii="Times New Roman" w:hAnsi="Times New Roman" w:cs="Times New Roman"/>
                <w:bCs/>
                <w:sz w:val="24"/>
                <w:szCs w:val="24"/>
              </w:rPr>
              <w:t>П</w:t>
            </w:r>
            <w:r>
              <w:rPr>
                <w:rFonts w:ascii="Times New Roman" w:hAnsi="Times New Roman" w:cs="Times New Roman"/>
                <w:bCs/>
                <w:sz w:val="24"/>
                <w:szCs w:val="24"/>
              </w:rPr>
              <w:t>редвидена</w:t>
            </w:r>
            <w:r w:rsidR="00DA42F9">
              <w:rPr>
                <w:rFonts w:ascii="Times New Roman" w:hAnsi="Times New Roman" w:cs="Times New Roman"/>
                <w:bCs/>
                <w:sz w:val="24"/>
                <w:szCs w:val="24"/>
              </w:rPr>
              <w:t>та</w:t>
            </w:r>
            <w:r>
              <w:rPr>
                <w:rFonts w:ascii="Times New Roman" w:hAnsi="Times New Roman" w:cs="Times New Roman"/>
                <w:bCs/>
                <w:sz w:val="24"/>
                <w:szCs w:val="24"/>
              </w:rPr>
              <w:t xml:space="preserve"> редакция на чл. 117 от ЗЖТ отнема възможността на административния орган да вземе пропорционална мярка, защото всички предписания по ЗЖТ стават с предварително изпълнение. Сега правната уредба на чл. 60 от Административнопроцесуалния кодекс (АПК) дава възможност, когато това е наложително, административния</w:t>
            </w:r>
            <w:r w:rsidR="001C3B9D">
              <w:rPr>
                <w:rFonts w:ascii="Times New Roman" w:hAnsi="Times New Roman" w:cs="Times New Roman"/>
                <w:bCs/>
                <w:sz w:val="24"/>
                <w:szCs w:val="24"/>
              </w:rPr>
              <w:t>т</w:t>
            </w:r>
            <w:r>
              <w:rPr>
                <w:rFonts w:ascii="Times New Roman" w:hAnsi="Times New Roman" w:cs="Times New Roman"/>
                <w:bCs/>
                <w:sz w:val="24"/>
                <w:szCs w:val="24"/>
              </w:rPr>
              <w:t xml:space="preserve"> орган да включи и разпореждане за предварителното му изпълнение – докато в настоящия проект</w:t>
            </w:r>
            <w:r w:rsidR="00B6561C">
              <w:rPr>
                <w:rFonts w:ascii="Times New Roman" w:hAnsi="Times New Roman" w:cs="Times New Roman"/>
                <w:bCs/>
                <w:sz w:val="24"/>
                <w:szCs w:val="24"/>
              </w:rPr>
              <w:t>, възможност за такава преценка не е дадена на административния орган. На практика с включването на т. 14 от ал. 2 от чл. 117 от ЗЖТ, всички негови предписания ще имат предварително изпълнение. По този начин се създават предпоставки административния</w:t>
            </w:r>
            <w:r w:rsidR="00DA42F9">
              <w:rPr>
                <w:rFonts w:ascii="Times New Roman" w:hAnsi="Times New Roman" w:cs="Times New Roman"/>
                <w:bCs/>
                <w:sz w:val="24"/>
                <w:szCs w:val="24"/>
              </w:rPr>
              <w:t>т</w:t>
            </w:r>
            <w:r w:rsidR="00B6561C">
              <w:rPr>
                <w:rFonts w:ascii="Times New Roman" w:hAnsi="Times New Roman" w:cs="Times New Roman"/>
                <w:bCs/>
                <w:sz w:val="24"/>
                <w:szCs w:val="24"/>
              </w:rPr>
              <w:t xml:space="preserve"> орган да не търси най-правилните и добре обосновани решения. Още повече, че в предложените изменения не се предвижда задължителните предписания да се мотивират.</w:t>
            </w:r>
            <w:r w:rsidR="00DA42F9">
              <w:rPr>
                <w:rFonts w:ascii="Times New Roman" w:hAnsi="Times New Roman" w:cs="Times New Roman"/>
                <w:bCs/>
                <w:sz w:val="24"/>
                <w:szCs w:val="24"/>
              </w:rPr>
              <w:t xml:space="preserve"> С</w:t>
            </w:r>
            <w:r w:rsidR="00CB55D7">
              <w:rPr>
                <w:rFonts w:ascii="Times New Roman" w:hAnsi="Times New Roman" w:cs="Times New Roman"/>
                <w:bCs/>
                <w:sz w:val="24"/>
                <w:szCs w:val="24"/>
              </w:rPr>
              <w:t xml:space="preserve">читаме предвидените </w:t>
            </w:r>
            <w:r w:rsidR="00DA42F9">
              <w:rPr>
                <w:rFonts w:ascii="Times New Roman" w:hAnsi="Times New Roman" w:cs="Times New Roman"/>
                <w:bCs/>
                <w:sz w:val="24"/>
                <w:szCs w:val="24"/>
              </w:rPr>
              <w:t>промени</w:t>
            </w:r>
            <w:r w:rsidR="00CB55D7">
              <w:rPr>
                <w:rFonts w:ascii="Times New Roman" w:hAnsi="Times New Roman" w:cs="Times New Roman"/>
                <w:bCs/>
                <w:sz w:val="24"/>
                <w:szCs w:val="24"/>
              </w:rPr>
              <w:t xml:space="preserve"> на чл. 117 от ЗЖТ за необосновани и непропорционални.</w:t>
            </w:r>
          </w:p>
        </w:tc>
        <w:tc>
          <w:tcPr>
            <w:tcW w:w="1843" w:type="dxa"/>
          </w:tcPr>
          <w:p w:rsidR="0015599F" w:rsidRDefault="0015599F" w:rsidP="00DA42F9">
            <w:pPr>
              <w:jc w:val="center"/>
              <w:rPr>
                <w:rFonts w:ascii="Times New Roman" w:hAnsi="Times New Roman" w:cs="Times New Roman"/>
                <w:sz w:val="24"/>
                <w:szCs w:val="24"/>
              </w:rPr>
            </w:pPr>
            <w:r>
              <w:rPr>
                <w:rFonts w:ascii="Times New Roman" w:hAnsi="Times New Roman" w:cs="Times New Roman"/>
                <w:sz w:val="24"/>
                <w:szCs w:val="24"/>
              </w:rPr>
              <w:t>Не се приема</w:t>
            </w:r>
            <w:r w:rsidR="00DA42F9">
              <w:rPr>
                <w:rFonts w:ascii="Times New Roman" w:hAnsi="Times New Roman" w:cs="Times New Roman"/>
                <w:sz w:val="24"/>
                <w:szCs w:val="24"/>
              </w:rPr>
              <w:t>.</w:t>
            </w:r>
          </w:p>
        </w:tc>
        <w:tc>
          <w:tcPr>
            <w:tcW w:w="5323" w:type="dxa"/>
          </w:tcPr>
          <w:p w:rsidR="00AA621F" w:rsidRPr="00DA42F9" w:rsidRDefault="00DA42F9" w:rsidP="00DA42F9">
            <w:pPr>
              <w:ind w:firstLine="313"/>
              <w:rPr>
                <w:rFonts w:ascii="Times New Roman" w:eastAsia="Times New Roman" w:hAnsi="Times New Roman" w:cs="Times New Roman"/>
                <w:sz w:val="24"/>
                <w:szCs w:val="20"/>
              </w:rPr>
            </w:pPr>
            <w:r>
              <w:rPr>
                <w:rFonts w:ascii="Times New Roman" w:eastAsia="Times New Roman" w:hAnsi="Times New Roman" w:cs="Times New Roman"/>
                <w:sz w:val="24"/>
                <w:szCs w:val="20"/>
              </w:rPr>
              <w:t>В</w:t>
            </w:r>
            <w:r w:rsidR="00AA621F">
              <w:rPr>
                <w:rFonts w:ascii="Times New Roman" w:eastAsia="Times New Roman" w:hAnsi="Times New Roman" w:cs="Times New Roman"/>
                <w:sz w:val="24"/>
                <w:szCs w:val="20"/>
              </w:rPr>
              <w:t xml:space="preserve"> законопроект</w:t>
            </w:r>
            <w:r>
              <w:rPr>
                <w:rFonts w:ascii="Times New Roman" w:eastAsia="Times New Roman" w:hAnsi="Times New Roman" w:cs="Times New Roman"/>
                <w:sz w:val="24"/>
                <w:szCs w:val="20"/>
              </w:rPr>
              <w:t>а</w:t>
            </w:r>
            <w:r w:rsidR="00AA621F">
              <w:rPr>
                <w:rFonts w:ascii="Times New Roman" w:eastAsia="Times New Roman" w:hAnsi="Times New Roman" w:cs="Times New Roman"/>
                <w:sz w:val="24"/>
                <w:szCs w:val="20"/>
              </w:rPr>
              <w:t xml:space="preserve"> се предвижда предварително изпълнение </w:t>
            </w:r>
            <w:r w:rsidR="00AA621F" w:rsidRPr="00DA42F9">
              <w:rPr>
                <w:rFonts w:ascii="Times New Roman" w:eastAsia="Times New Roman" w:hAnsi="Times New Roman" w:cs="Times New Roman"/>
                <w:sz w:val="24"/>
                <w:szCs w:val="20"/>
              </w:rPr>
              <w:t>само по отношение на задължителни предписания, издадени от изпълнителния директор на ИАЖА по предложената за допълнение ал. 3 на чл. 117 от ЗЖТ. За зад</w:t>
            </w:r>
            <w:r w:rsidR="00AA621F">
              <w:rPr>
                <w:rFonts w:ascii="Times New Roman" w:eastAsia="Times New Roman" w:hAnsi="Times New Roman" w:cs="Times New Roman"/>
                <w:sz w:val="24"/>
                <w:szCs w:val="20"/>
              </w:rPr>
              <w:t>ължителните предписания</w:t>
            </w:r>
            <w:r>
              <w:rPr>
                <w:rFonts w:ascii="Times New Roman" w:eastAsia="Times New Roman" w:hAnsi="Times New Roman" w:cs="Times New Roman"/>
                <w:sz w:val="24"/>
                <w:szCs w:val="20"/>
              </w:rPr>
              <w:t>,</w:t>
            </w:r>
            <w:r w:rsidR="00AA621F">
              <w:rPr>
                <w:rFonts w:ascii="Times New Roman" w:eastAsia="Times New Roman" w:hAnsi="Times New Roman" w:cs="Times New Roman"/>
                <w:sz w:val="24"/>
                <w:szCs w:val="20"/>
              </w:rPr>
              <w:t xml:space="preserve"> издадени от служителите на ИАЖА по реда на </w:t>
            </w:r>
            <w:r w:rsidR="00AA621F" w:rsidRPr="00D10774">
              <w:rPr>
                <w:rFonts w:ascii="Times New Roman" w:eastAsia="Times New Roman" w:hAnsi="Times New Roman" w:cs="Times New Roman"/>
                <w:sz w:val="24"/>
                <w:szCs w:val="20"/>
              </w:rPr>
              <w:t>чл. 117, ал. 2, т. 14 от ЗЖТ</w:t>
            </w:r>
            <w:r w:rsidR="00AA621F">
              <w:rPr>
                <w:rFonts w:ascii="Times New Roman" w:eastAsia="Times New Roman" w:hAnsi="Times New Roman" w:cs="Times New Roman"/>
                <w:sz w:val="24"/>
                <w:szCs w:val="20"/>
              </w:rPr>
              <w:t xml:space="preserve"> </w:t>
            </w:r>
            <w:r w:rsidR="00AA621F" w:rsidRPr="00DA42F9">
              <w:rPr>
                <w:rFonts w:ascii="Times New Roman" w:eastAsia="Times New Roman" w:hAnsi="Times New Roman" w:cs="Times New Roman"/>
                <w:sz w:val="24"/>
                <w:szCs w:val="20"/>
              </w:rPr>
              <w:t xml:space="preserve">не се предвижда предварително изпълнение. </w:t>
            </w:r>
          </w:p>
          <w:p w:rsidR="00AA621F" w:rsidRDefault="00AA621F" w:rsidP="00DA42F9">
            <w:pPr>
              <w:ind w:firstLine="313"/>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В направените бележки такава разлика не е открита от страна на </w:t>
            </w:r>
            <w:r w:rsidRPr="008A4A01">
              <w:rPr>
                <w:rFonts w:ascii="Times New Roman" w:eastAsia="Times New Roman" w:hAnsi="Times New Roman" w:cs="Times New Roman"/>
                <w:sz w:val="24"/>
                <w:szCs w:val="20"/>
              </w:rPr>
              <w:t xml:space="preserve">СНЦ „Асоциация на предприятията в железопътния </w:t>
            </w:r>
            <w:r>
              <w:rPr>
                <w:rFonts w:ascii="Times New Roman" w:eastAsia="Times New Roman" w:hAnsi="Times New Roman" w:cs="Times New Roman"/>
                <w:sz w:val="24"/>
                <w:szCs w:val="20"/>
              </w:rPr>
              <w:t>превоз</w:t>
            </w:r>
            <w:r w:rsidRPr="008A4A01">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което се дължи най-вероятно на неправилно тълкуване на предложените разпоредби. </w:t>
            </w:r>
          </w:p>
          <w:p w:rsidR="00AA621F" w:rsidRDefault="00AA621F" w:rsidP="00DA42F9">
            <w:pPr>
              <w:ind w:firstLine="313"/>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Относно възражението за липса на пропорционалност, такава не е налице по новата </w:t>
            </w:r>
            <w:r w:rsidRPr="008A4A01">
              <w:rPr>
                <w:rFonts w:ascii="Times New Roman" w:eastAsia="Times New Roman" w:hAnsi="Times New Roman" w:cs="Times New Roman"/>
                <w:sz w:val="24"/>
                <w:szCs w:val="20"/>
              </w:rPr>
              <w:t>ал. 3 на чл. 117 от ЗЖТ</w:t>
            </w:r>
            <w:r>
              <w:rPr>
                <w:rFonts w:ascii="Times New Roman" w:eastAsia="Times New Roman" w:hAnsi="Times New Roman" w:cs="Times New Roman"/>
                <w:sz w:val="24"/>
                <w:szCs w:val="20"/>
              </w:rPr>
              <w:t xml:space="preserve">, тъй като предварително изпълнение са предвижда за задължителни предписания, издавани от изпълнителния директор на ИА“ЖА“, </w:t>
            </w:r>
            <w:r w:rsidRPr="00DA42F9">
              <w:rPr>
                <w:rFonts w:ascii="Times New Roman" w:eastAsia="Times New Roman" w:hAnsi="Times New Roman" w:cs="Times New Roman"/>
                <w:sz w:val="24"/>
                <w:szCs w:val="20"/>
              </w:rPr>
              <w:t>само за конкретни случаи, а именно: „При констатиране на нарушение, свързано с безопасността на движението и сигурността на привозите, от което може да настъпи тежко железопътно произшествие или е настъпило такова, или се създава опасност за живота или здравето на гражданите, или може да последва значителна или трудно поправима вреда……….“</w:t>
            </w:r>
            <w:r w:rsidR="00DA42F9">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00DA42F9">
              <w:rPr>
                <w:rFonts w:ascii="Times New Roman" w:eastAsia="Times New Roman" w:hAnsi="Times New Roman" w:cs="Times New Roman"/>
                <w:sz w:val="24"/>
                <w:szCs w:val="20"/>
              </w:rPr>
              <w:t>П</w:t>
            </w:r>
            <w:r>
              <w:rPr>
                <w:rFonts w:ascii="Times New Roman" w:eastAsia="Times New Roman" w:hAnsi="Times New Roman" w:cs="Times New Roman"/>
                <w:sz w:val="24"/>
                <w:szCs w:val="20"/>
              </w:rPr>
              <w:t>редложения</w:t>
            </w:r>
            <w:r w:rsidR="00DA42F9">
              <w:rPr>
                <w:rFonts w:ascii="Times New Roman" w:eastAsia="Times New Roman" w:hAnsi="Times New Roman" w:cs="Times New Roman"/>
                <w:sz w:val="24"/>
                <w:szCs w:val="20"/>
              </w:rPr>
              <w:t>т</w:t>
            </w:r>
            <w:r>
              <w:rPr>
                <w:rFonts w:ascii="Times New Roman" w:eastAsia="Times New Roman" w:hAnsi="Times New Roman" w:cs="Times New Roman"/>
                <w:sz w:val="24"/>
                <w:szCs w:val="20"/>
              </w:rPr>
              <w:t xml:space="preserve"> текст е съобразен с изискванията за пропорционалност както на  Директива </w:t>
            </w:r>
            <w:r>
              <w:rPr>
                <w:rFonts w:ascii="Times New Roman" w:eastAsia="Times New Roman" w:hAnsi="Times New Roman" w:cs="Times New Roman"/>
                <w:sz w:val="24"/>
                <w:szCs w:val="20"/>
                <w:lang w:val="en-US"/>
              </w:rPr>
              <w:t>(</w:t>
            </w:r>
            <w:r>
              <w:rPr>
                <w:rFonts w:ascii="Times New Roman" w:eastAsia="Times New Roman" w:hAnsi="Times New Roman" w:cs="Times New Roman"/>
                <w:sz w:val="24"/>
                <w:szCs w:val="20"/>
              </w:rPr>
              <w:t>ЕС</w:t>
            </w:r>
            <w:r>
              <w:rPr>
                <w:rFonts w:ascii="Times New Roman" w:eastAsia="Times New Roman" w:hAnsi="Times New Roman" w:cs="Times New Roman"/>
                <w:sz w:val="24"/>
                <w:szCs w:val="20"/>
                <w:lang w:val="en-US"/>
              </w:rPr>
              <w:t>)</w:t>
            </w:r>
            <w:r>
              <w:rPr>
                <w:rFonts w:ascii="Times New Roman" w:eastAsia="Times New Roman" w:hAnsi="Times New Roman" w:cs="Times New Roman"/>
                <w:sz w:val="24"/>
                <w:szCs w:val="20"/>
              </w:rPr>
              <w:t xml:space="preserve"> 2016/798 на Европейския Парламент и Съвета от май 2016 г., съображение 29, така и на чл. 60 от АПК.</w:t>
            </w:r>
          </w:p>
          <w:p w:rsidR="00AA621F" w:rsidRDefault="00AA621F" w:rsidP="00DA42F9">
            <w:pPr>
              <w:ind w:firstLine="313"/>
              <w:rPr>
                <w:rFonts w:ascii="Times New Roman" w:eastAsia="Times New Roman" w:hAnsi="Times New Roman" w:cs="Times New Roman"/>
                <w:sz w:val="24"/>
                <w:szCs w:val="20"/>
              </w:rPr>
            </w:pPr>
            <w:r>
              <w:rPr>
                <w:rFonts w:ascii="Times New Roman" w:eastAsia="Times New Roman" w:hAnsi="Times New Roman" w:cs="Times New Roman"/>
                <w:sz w:val="24"/>
                <w:szCs w:val="20"/>
              </w:rPr>
              <w:t>С оглед гореизложеното</w:t>
            </w:r>
            <w:r w:rsidR="0097360B">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направените бележки от </w:t>
            </w:r>
            <w:r w:rsidRPr="00AA621F">
              <w:rPr>
                <w:rFonts w:ascii="Times New Roman" w:eastAsia="Times New Roman" w:hAnsi="Times New Roman" w:cs="Times New Roman"/>
                <w:sz w:val="24"/>
                <w:szCs w:val="20"/>
              </w:rPr>
              <w:t>СНЦ „Асоциация на предприятията в железопътния превоз“</w:t>
            </w:r>
            <w:r w:rsidR="0097360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са неоснователни.</w:t>
            </w:r>
          </w:p>
          <w:p w:rsidR="00BA79A9" w:rsidRDefault="00BA79A9" w:rsidP="000A2B5D">
            <w:pPr>
              <w:rPr>
                <w:rFonts w:ascii="Times New Roman" w:hAnsi="Times New Roman" w:cs="Times New Roman"/>
                <w:iCs/>
                <w:sz w:val="24"/>
                <w:szCs w:val="24"/>
              </w:rPr>
            </w:pPr>
          </w:p>
        </w:tc>
      </w:tr>
      <w:tr w:rsidR="000251C1" w:rsidRPr="000C4D15" w:rsidTr="00DA42F9">
        <w:tc>
          <w:tcPr>
            <w:tcW w:w="2014" w:type="dxa"/>
          </w:tcPr>
          <w:p w:rsidR="000251C1" w:rsidRDefault="000251C1" w:rsidP="000251C1">
            <w:pPr>
              <w:rPr>
                <w:rFonts w:ascii="Times New Roman" w:hAnsi="Times New Roman" w:cs="Times New Roman"/>
                <w:sz w:val="24"/>
                <w:szCs w:val="24"/>
              </w:rPr>
            </w:pPr>
            <w:r>
              <w:rPr>
                <w:rFonts w:ascii="Times New Roman" w:hAnsi="Times New Roman" w:cs="Times New Roman"/>
                <w:sz w:val="24"/>
                <w:szCs w:val="24"/>
              </w:rPr>
              <w:t>СНЦ „Асоциация на предприятията в железопътния превоз“</w:t>
            </w:r>
          </w:p>
          <w:p w:rsidR="000251C1" w:rsidRDefault="000251C1" w:rsidP="000251C1">
            <w:pPr>
              <w:rPr>
                <w:rFonts w:ascii="Times New Roman" w:hAnsi="Times New Roman" w:cs="Times New Roman"/>
                <w:sz w:val="24"/>
                <w:szCs w:val="24"/>
              </w:rPr>
            </w:pPr>
          </w:p>
        </w:tc>
        <w:tc>
          <w:tcPr>
            <w:tcW w:w="5954" w:type="dxa"/>
          </w:tcPr>
          <w:p w:rsidR="00B84BF9" w:rsidRDefault="000251C1" w:rsidP="000251C1">
            <w:pPr>
              <w:rPr>
                <w:rFonts w:ascii="Times New Roman" w:hAnsi="Times New Roman" w:cs="Times New Roman"/>
                <w:bCs/>
                <w:sz w:val="24"/>
                <w:szCs w:val="24"/>
              </w:rPr>
            </w:pPr>
            <w:r>
              <w:rPr>
                <w:rFonts w:ascii="Times New Roman" w:hAnsi="Times New Roman" w:cs="Times New Roman"/>
                <w:bCs/>
                <w:sz w:val="24"/>
                <w:szCs w:val="24"/>
              </w:rPr>
              <w:t xml:space="preserve">   </w:t>
            </w:r>
            <w:r w:rsidR="009D1130">
              <w:rPr>
                <w:rFonts w:ascii="Times New Roman" w:hAnsi="Times New Roman" w:cs="Times New Roman"/>
                <w:bCs/>
                <w:sz w:val="24"/>
                <w:szCs w:val="24"/>
              </w:rPr>
              <w:t>М</w:t>
            </w:r>
            <w:r>
              <w:rPr>
                <w:rFonts w:ascii="Times New Roman" w:hAnsi="Times New Roman" w:cs="Times New Roman"/>
                <w:bCs/>
                <w:sz w:val="24"/>
                <w:szCs w:val="24"/>
              </w:rPr>
              <w:t>олим да се прецизира обхвата на нормата на чл. 37, ал. 3 относно случаите, при които се преразглежда лицензията</w:t>
            </w:r>
            <w:r w:rsidR="009D1130">
              <w:rPr>
                <w:rFonts w:ascii="Times New Roman" w:hAnsi="Times New Roman" w:cs="Times New Roman"/>
                <w:bCs/>
                <w:sz w:val="24"/>
                <w:szCs w:val="24"/>
              </w:rPr>
              <w:t>,</w:t>
            </w:r>
            <w:r w:rsidR="00F546A7">
              <w:rPr>
                <w:rFonts w:ascii="Times New Roman" w:hAnsi="Times New Roman" w:cs="Times New Roman"/>
                <w:bCs/>
                <w:sz w:val="24"/>
                <w:szCs w:val="24"/>
              </w:rPr>
              <w:t xml:space="preserve"> като се уточни, че лицензията са преразглежда в случаите, когато имаме преобразуване на превозвача, но единствено чрез способите вливане, сливане, разделяне и отделяне, така както са уредени в Раздел </w:t>
            </w:r>
            <w:r w:rsidR="00F546A7">
              <w:rPr>
                <w:rFonts w:ascii="Times New Roman" w:hAnsi="Times New Roman" w:cs="Times New Roman"/>
                <w:bCs/>
                <w:sz w:val="24"/>
                <w:szCs w:val="24"/>
                <w:lang w:val="en-US"/>
              </w:rPr>
              <w:t xml:space="preserve">II </w:t>
            </w:r>
            <w:r w:rsidR="00F546A7">
              <w:rPr>
                <w:rFonts w:ascii="Times New Roman" w:hAnsi="Times New Roman" w:cs="Times New Roman"/>
                <w:bCs/>
                <w:sz w:val="24"/>
                <w:szCs w:val="24"/>
              </w:rPr>
              <w:t xml:space="preserve">на Търговския закон. Тези случаи има предвид и Директива 2012/34/ЕС за създаване на единно европейско железопътно пространство и това има своята правна логика, доколкото в тези случаи е възможно да се променят финансовите </w:t>
            </w:r>
            <w:r w:rsidR="00B84BF9">
              <w:rPr>
                <w:rFonts w:ascii="Times New Roman" w:hAnsi="Times New Roman" w:cs="Times New Roman"/>
                <w:bCs/>
                <w:sz w:val="24"/>
                <w:szCs w:val="24"/>
              </w:rPr>
              <w:t>показатели на железопътното предприятие, осигуряващи финансовата му стабилност, както и да се отрази на останалите критерии, по които превозвачът е получил лицензия.</w:t>
            </w:r>
          </w:p>
          <w:p w:rsidR="000251C1" w:rsidRDefault="009D1130" w:rsidP="000251C1">
            <w:pPr>
              <w:rPr>
                <w:rFonts w:ascii="Times New Roman" w:hAnsi="Times New Roman" w:cs="Times New Roman"/>
                <w:bCs/>
                <w:sz w:val="24"/>
                <w:szCs w:val="24"/>
              </w:rPr>
            </w:pPr>
            <w:r>
              <w:rPr>
                <w:rFonts w:ascii="Times New Roman" w:hAnsi="Times New Roman" w:cs="Times New Roman"/>
                <w:bCs/>
                <w:sz w:val="24"/>
                <w:szCs w:val="24"/>
              </w:rPr>
              <w:t xml:space="preserve">   </w:t>
            </w:r>
            <w:r w:rsidR="00B84BF9">
              <w:rPr>
                <w:rFonts w:ascii="Times New Roman" w:hAnsi="Times New Roman" w:cs="Times New Roman"/>
                <w:bCs/>
                <w:sz w:val="24"/>
                <w:szCs w:val="24"/>
              </w:rPr>
              <w:t xml:space="preserve">Българският Търговски закон обаче, в глава </w:t>
            </w:r>
            <w:r w:rsidR="00B84BF9">
              <w:rPr>
                <w:rFonts w:ascii="Times New Roman" w:hAnsi="Times New Roman" w:cs="Times New Roman"/>
                <w:bCs/>
                <w:sz w:val="24"/>
                <w:szCs w:val="24"/>
                <w:lang w:val="en-US"/>
              </w:rPr>
              <w:t xml:space="preserve">XVI </w:t>
            </w:r>
            <w:r w:rsidR="000251C1">
              <w:rPr>
                <w:rFonts w:ascii="Times New Roman" w:hAnsi="Times New Roman" w:cs="Times New Roman"/>
                <w:bCs/>
                <w:sz w:val="24"/>
                <w:szCs w:val="24"/>
              </w:rPr>
              <w:t xml:space="preserve"> </w:t>
            </w:r>
            <w:r w:rsidR="00B84BF9">
              <w:rPr>
                <w:rFonts w:ascii="Times New Roman" w:hAnsi="Times New Roman" w:cs="Times New Roman"/>
                <w:bCs/>
                <w:sz w:val="24"/>
                <w:szCs w:val="24"/>
              </w:rPr>
              <w:t>предвижда и други способи на преобразуване на търговец, които не застрашават показателите на фирмата, нито реално могат да се отразят на предмета й на дейност, като достатъчна гаранция е изискването за притежаване на сертификат за безопасност.</w:t>
            </w:r>
          </w:p>
          <w:p w:rsidR="00B84BF9" w:rsidRDefault="009D1130" w:rsidP="000251C1">
            <w:pPr>
              <w:rPr>
                <w:rFonts w:ascii="Times New Roman" w:hAnsi="Times New Roman" w:cs="Times New Roman"/>
                <w:bCs/>
                <w:sz w:val="24"/>
                <w:szCs w:val="24"/>
              </w:rPr>
            </w:pPr>
            <w:r>
              <w:rPr>
                <w:rFonts w:ascii="Times New Roman" w:hAnsi="Times New Roman" w:cs="Times New Roman"/>
                <w:bCs/>
                <w:sz w:val="24"/>
                <w:szCs w:val="24"/>
              </w:rPr>
              <w:t xml:space="preserve">  </w:t>
            </w:r>
            <w:r w:rsidR="00B84BF9">
              <w:rPr>
                <w:rFonts w:ascii="Times New Roman" w:hAnsi="Times New Roman" w:cs="Times New Roman"/>
                <w:bCs/>
                <w:sz w:val="24"/>
                <w:szCs w:val="24"/>
              </w:rPr>
              <w:t>За разлика от останалите форми на преобразуване на търговски дружества, преобразуването на дружеството чрез промяна в правната форма не води непосредствено да преструктуриране на предприятието на преобразуващото се дружество, а е свързано единствено с промяна на неговата правно-организационна форма, под която се извършва продължаващата търговска дейност. Предполага се, че тази промяна се осъществява, когато новата правна форма</w:t>
            </w:r>
            <w:r w:rsidR="00A54D17">
              <w:rPr>
                <w:rFonts w:ascii="Times New Roman" w:hAnsi="Times New Roman" w:cs="Times New Roman"/>
                <w:bCs/>
                <w:sz w:val="24"/>
                <w:szCs w:val="24"/>
              </w:rPr>
              <w:t xml:space="preserve"> в по-голяма степен съответства на променилото се състояние на предприятието и по-пълноценно би могла да удовлетвори възникналите нови бизнес изисквания.</w:t>
            </w:r>
          </w:p>
          <w:p w:rsidR="000251C1" w:rsidRDefault="009D1130" w:rsidP="000251C1">
            <w:pPr>
              <w:rPr>
                <w:rFonts w:ascii="Times New Roman" w:hAnsi="Times New Roman" w:cs="Times New Roman"/>
                <w:bCs/>
                <w:sz w:val="24"/>
                <w:szCs w:val="24"/>
              </w:rPr>
            </w:pPr>
            <w:r>
              <w:rPr>
                <w:rFonts w:ascii="Times New Roman" w:hAnsi="Times New Roman" w:cs="Times New Roman"/>
                <w:bCs/>
                <w:sz w:val="24"/>
                <w:szCs w:val="24"/>
              </w:rPr>
              <w:t xml:space="preserve">   </w:t>
            </w:r>
            <w:r w:rsidR="00A54D17">
              <w:rPr>
                <w:rFonts w:ascii="Times New Roman" w:hAnsi="Times New Roman" w:cs="Times New Roman"/>
                <w:bCs/>
                <w:sz w:val="24"/>
                <w:szCs w:val="24"/>
              </w:rPr>
              <w:t>Поради това смятаме, че при липса на прецизиране на текста на чл. 37, ал. 3 от ЗЖТ, като се посочи изрично сливането, вливането, отделянето и разделянето като форми на преобразуване, ще се достигне до създаване на ненужна значителна административна и финансова тежест за предприятията, осъществяващи железопътен превоз.</w:t>
            </w:r>
          </w:p>
        </w:tc>
        <w:tc>
          <w:tcPr>
            <w:tcW w:w="1843" w:type="dxa"/>
          </w:tcPr>
          <w:p w:rsidR="000251C1" w:rsidRDefault="000251C1" w:rsidP="00DA42F9">
            <w:pPr>
              <w:jc w:val="center"/>
              <w:rPr>
                <w:rFonts w:ascii="Times New Roman" w:hAnsi="Times New Roman" w:cs="Times New Roman"/>
                <w:sz w:val="24"/>
                <w:szCs w:val="24"/>
              </w:rPr>
            </w:pPr>
            <w:r>
              <w:rPr>
                <w:rFonts w:ascii="Times New Roman" w:hAnsi="Times New Roman" w:cs="Times New Roman"/>
                <w:sz w:val="24"/>
                <w:szCs w:val="24"/>
              </w:rPr>
              <w:t>Не се приема</w:t>
            </w:r>
            <w:r w:rsidR="00DA42F9">
              <w:rPr>
                <w:rFonts w:ascii="Times New Roman" w:hAnsi="Times New Roman" w:cs="Times New Roman"/>
                <w:sz w:val="24"/>
                <w:szCs w:val="24"/>
              </w:rPr>
              <w:t>.</w:t>
            </w:r>
          </w:p>
        </w:tc>
        <w:tc>
          <w:tcPr>
            <w:tcW w:w="5323" w:type="dxa"/>
          </w:tcPr>
          <w:p w:rsidR="007B1E1C" w:rsidRDefault="00F21C29" w:rsidP="002B7737">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Разпоредбата на чл. 37, ал. 3 съответства на член 24, параграф 5 от Директива 2012/34, който гласи: </w:t>
            </w:r>
            <w:r w:rsidRPr="009D1130">
              <w:rPr>
                <w:rFonts w:ascii="Times New Roman" w:eastAsia="Times New Roman" w:hAnsi="Times New Roman" w:cs="Times New Roman"/>
                <w:sz w:val="24"/>
                <w:szCs w:val="20"/>
              </w:rPr>
              <w:t>„При промяна, засягаща правния статус на дадено предприятие, и по-специално при сливане или поглъщане</w:t>
            </w:r>
            <w:r w:rsidR="009D1130">
              <w:rPr>
                <w:rFonts w:ascii="Times New Roman" w:eastAsia="Times New Roman" w:hAnsi="Times New Roman" w:cs="Times New Roman"/>
                <w:sz w:val="24"/>
                <w:szCs w:val="20"/>
              </w:rPr>
              <w:t>,</w:t>
            </w:r>
            <w:r w:rsidRPr="009D1130">
              <w:rPr>
                <w:rFonts w:ascii="Times New Roman" w:eastAsia="Times New Roman" w:hAnsi="Times New Roman" w:cs="Times New Roman"/>
                <w:sz w:val="24"/>
                <w:szCs w:val="20"/>
              </w:rPr>
              <w:t xml:space="preserve"> лицензиращият орган може да вземе решение лицензът да бъде представен повторно за одобрение.“</w:t>
            </w:r>
            <w:r>
              <w:rPr>
                <w:rFonts w:ascii="Times New Roman" w:eastAsia="Times New Roman" w:hAnsi="Times New Roman" w:cs="Times New Roman"/>
                <w:sz w:val="24"/>
                <w:szCs w:val="20"/>
              </w:rPr>
              <w:t xml:space="preserve"> </w:t>
            </w:r>
            <w:r w:rsidR="00E520FC">
              <w:rPr>
                <w:rFonts w:ascii="Times New Roman" w:eastAsia="Times New Roman" w:hAnsi="Times New Roman" w:cs="Times New Roman"/>
                <w:sz w:val="24"/>
                <w:szCs w:val="20"/>
              </w:rPr>
              <w:t xml:space="preserve">Съгласно българският Търговски закон търговските дружества могат да се преобразуват </w:t>
            </w:r>
            <w:r w:rsidR="00E520FC" w:rsidRPr="00E520FC">
              <w:rPr>
                <w:rFonts w:ascii="Times New Roman" w:eastAsia="Times New Roman" w:hAnsi="Times New Roman" w:cs="Times New Roman"/>
                <w:sz w:val="24"/>
                <w:szCs w:val="20"/>
              </w:rPr>
              <w:t>чрез вливане, сливане, разделяне, отделяне и отделяне на еднолично търговско дружество, както и чрез промяна на правната форма.</w:t>
            </w:r>
            <w:r w:rsidR="00E520FC">
              <w:rPr>
                <w:rFonts w:ascii="Times New Roman" w:eastAsia="Times New Roman" w:hAnsi="Times New Roman" w:cs="Times New Roman"/>
                <w:sz w:val="24"/>
                <w:szCs w:val="20"/>
              </w:rPr>
              <w:t xml:space="preserve"> </w:t>
            </w:r>
          </w:p>
          <w:p w:rsidR="002B7737" w:rsidRDefault="0000480D" w:rsidP="007B1E1C">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При преобразуване чрез промяна на правната форма – </w:t>
            </w:r>
            <w:r w:rsidR="007B1E1C">
              <w:rPr>
                <w:rFonts w:ascii="Times New Roman" w:eastAsia="Times New Roman" w:hAnsi="Times New Roman" w:cs="Times New Roman"/>
                <w:sz w:val="24"/>
                <w:szCs w:val="20"/>
              </w:rPr>
              <w:t>търговското дружество</w:t>
            </w:r>
            <w:r w:rsidRPr="0000480D">
              <w:rPr>
                <w:rFonts w:ascii="Times New Roman" w:eastAsia="Times New Roman" w:hAnsi="Times New Roman" w:cs="Times New Roman"/>
                <w:sz w:val="24"/>
                <w:szCs w:val="20"/>
              </w:rPr>
              <w:t xml:space="preserve"> се </w:t>
            </w:r>
            <w:r w:rsidR="007B1E1C" w:rsidRPr="0000480D">
              <w:rPr>
                <w:rFonts w:ascii="Times New Roman" w:eastAsia="Times New Roman" w:hAnsi="Times New Roman" w:cs="Times New Roman"/>
                <w:sz w:val="24"/>
                <w:szCs w:val="20"/>
              </w:rPr>
              <w:t>превръ</w:t>
            </w:r>
            <w:r w:rsidR="007B1E1C">
              <w:rPr>
                <w:rFonts w:ascii="Times New Roman" w:eastAsia="Times New Roman" w:hAnsi="Times New Roman" w:cs="Times New Roman"/>
                <w:sz w:val="24"/>
                <w:szCs w:val="20"/>
              </w:rPr>
              <w:t>ща</w:t>
            </w:r>
            <w:r w:rsidRPr="0000480D">
              <w:rPr>
                <w:rFonts w:ascii="Times New Roman" w:eastAsia="Times New Roman" w:hAnsi="Times New Roman" w:cs="Times New Roman"/>
                <w:sz w:val="24"/>
                <w:szCs w:val="20"/>
              </w:rPr>
              <w:t xml:space="preserve"> в търговско дружество от друг вид (новоучредено дружество). Новоучреденото дружество става правоприемник на преобразуващото се дружество, което се прекратява без ликвидация.</w:t>
            </w:r>
          </w:p>
          <w:p w:rsidR="002B7737" w:rsidRDefault="002B7737" w:rsidP="007B1E1C">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Изказаното в становището на </w:t>
            </w:r>
            <w:r w:rsidRPr="002B7737">
              <w:rPr>
                <w:rFonts w:ascii="Times New Roman" w:eastAsia="Times New Roman" w:hAnsi="Times New Roman" w:cs="Times New Roman"/>
                <w:sz w:val="24"/>
                <w:szCs w:val="20"/>
              </w:rPr>
              <w:t>СНЦ „Асоциация на предприятията в железопътния превоз“</w:t>
            </w:r>
            <w:r>
              <w:rPr>
                <w:rFonts w:ascii="Times New Roman" w:eastAsia="Times New Roman" w:hAnsi="Times New Roman" w:cs="Times New Roman"/>
                <w:sz w:val="24"/>
                <w:szCs w:val="20"/>
              </w:rPr>
              <w:t xml:space="preserve"> предположение, че преобразуването чрез промяна на правната форма на търговското дружество е свързано единствено с</w:t>
            </w:r>
            <w:r w:rsidRPr="002B7737">
              <w:rPr>
                <w:rFonts w:ascii="Times New Roman" w:eastAsia="Times New Roman" w:hAnsi="Times New Roman" w:cs="Times New Roman"/>
                <w:sz w:val="24"/>
                <w:szCs w:val="20"/>
              </w:rPr>
              <w:t xml:space="preserve"> промяна на неговата правно-организационна форма, под която се извършва продължаващата търговска дейност</w:t>
            </w:r>
            <w:r>
              <w:rPr>
                <w:rFonts w:ascii="Times New Roman" w:eastAsia="Times New Roman" w:hAnsi="Times New Roman" w:cs="Times New Roman"/>
                <w:sz w:val="24"/>
                <w:szCs w:val="20"/>
              </w:rPr>
              <w:t xml:space="preserve"> не отговаря на Търговския закон. </w:t>
            </w:r>
            <w:r w:rsidR="007B1E1C">
              <w:rPr>
                <w:rFonts w:ascii="Times New Roman" w:eastAsia="Times New Roman" w:hAnsi="Times New Roman" w:cs="Times New Roman"/>
                <w:sz w:val="24"/>
                <w:szCs w:val="20"/>
              </w:rPr>
              <w:t xml:space="preserve">Търговският закон изисква съставяне на план за преобразуване, който по своето съдържание може да доведе до промяна на условията по чл. 38 от ЗЖТ, при които е издадена лицензията на железопътния превозвач. Във връзка с това преразглеждането на лицензията  в случай на промяна на правната форма на търговското дружество </w:t>
            </w:r>
            <w:r>
              <w:rPr>
                <w:rFonts w:ascii="Times New Roman" w:eastAsia="Times New Roman" w:hAnsi="Times New Roman" w:cs="Times New Roman"/>
                <w:sz w:val="24"/>
                <w:szCs w:val="20"/>
              </w:rPr>
              <w:t xml:space="preserve">е необходимо, за да се установи изпълнението на условията по чл. 38 от ЗЖТ, при които е издадена лицензията. </w:t>
            </w:r>
          </w:p>
          <w:p w:rsidR="00F21C29" w:rsidRDefault="00F21C29" w:rsidP="002B7737">
            <w:pPr>
              <w:rPr>
                <w:rFonts w:ascii="Times New Roman" w:eastAsia="Times New Roman" w:hAnsi="Times New Roman" w:cs="Times New Roman"/>
                <w:sz w:val="24"/>
                <w:szCs w:val="20"/>
              </w:rPr>
            </w:pPr>
          </w:p>
        </w:tc>
      </w:tr>
    </w:tbl>
    <w:p w:rsidR="00567566" w:rsidRPr="0074157D" w:rsidRDefault="00567566" w:rsidP="00517E79">
      <w:pPr>
        <w:rPr>
          <w:rFonts w:ascii="Times New Roman" w:hAnsi="Times New Roman" w:cs="Times New Roman"/>
          <w:i/>
          <w:sz w:val="24"/>
          <w:szCs w:val="24"/>
        </w:rPr>
      </w:pPr>
    </w:p>
    <w:p w:rsidR="00567566" w:rsidRDefault="00567566" w:rsidP="00517E79">
      <w:pPr>
        <w:rPr>
          <w:rFonts w:ascii="Times New Roman" w:hAnsi="Times New Roman" w:cs="Times New Roman"/>
          <w:i/>
          <w:sz w:val="20"/>
          <w:szCs w:val="20"/>
        </w:rPr>
      </w:pPr>
    </w:p>
    <w:sectPr w:rsidR="00567566" w:rsidSect="00F864C7">
      <w:footerReference w:type="default" r:id="rId8"/>
      <w:pgSz w:w="16838" w:h="11906" w:orient="landscape"/>
      <w:pgMar w:top="709" w:right="395" w:bottom="42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AD" w:rsidRDefault="00435FAD" w:rsidP="003A7C24">
      <w:r>
        <w:separator/>
      </w:r>
    </w:p>
  </w:endnote>
  <w:endnote w:type="continuationSeparator" w:id="0">
    <w:p w:rsidR="00435FAD" w:rsidRDefault="00435FAD" w:rsidP="003A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933968"/>
      <w:docPartObj>
        <w:docPartGallery w:val="Page Numbers (Bottom of Page)"/>
        <w:docPartUnique/>
      </w:docPartObj>
    </w:sdtPr>
    <w:sdtEndPr>
      <w:rPr>
        <w:noProof/>
      </w:rPr>
    </w:sdtEndPr>
    <w:sdtContent>
      <w:p w:rsidR="003A7C24" w:rsidRDefault="003A7C24">
        <w:pPr>
          <w:pStyle w:val="Footer"/>
          <w:jc w:val="right"/>
        </w:pPr>
        <w:r>
          <w:fldChar w:fldCharType="begin"/>
        </w:r>
        <w:r>
          <w:instrText xml:space="preserve"> PAGE   \* MERGEFORMAT </w:instrText>
        </w:r>
        <w:r>
          <w:fldChar w:fldCharType="separate"/>
        </w:r>
        <w:r w:rsidR="00435FAD">
          <w:rPr>
            <w:noProof/>
          </w:rPr>
          <w:t>1</w:t>
        </w:r>
        <w:r>
          <w:rPr>
            <w:noProof/>
          </w:rPr>
          <w:fldChar w:fldCharType="end"/>
        </w:r>
      </w:p>
    </w:sdtContent>
  </w:sdt>
  <w:p w:rsidR="003A7C24" w:rsidRDefault="003A7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AD" w:rsidRDefault="00435FAD" w:rsidP="003A7C24">
      <w:r>
        <w:separator/>
      </w:r>
    </w:p>
  </w:footnote>
  <w:footnote w:type="continuationSeparator" w:id="0">
    <w:p w:rsidR="00435FAD" w:rsidRDefault="00435FAD" w:rsidP="003A7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446"/>
    <w:multiLevelType w:val="hybridMultilevel"/>
    <w:tmpl w:val="AEF470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3E339D"/>
    <w:multiLevelType w:val="hybridMultilevel"/>
    <w:tmpl w:val="15B8AE5A"/>
    <w:lvl w:ilvl="0" w:tplc="04720C6E">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B966E18"/>
    <w:multiLevelType w:val="hybridMultilevel"/>
    <w:tmpl w:val="B99E89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B3E47B7"/>
    <w:multiLevelType w:val="hybridMultilevel"/>
    <w:tmpl w:val="E1228494"/>
    <w:lvl w:ilvl="0" w:tplc="4A1C8ED4">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4F912094"/>
    <w:multiLevelType w:val="hybridMultilevel"/>
    <w:tmpl w:val="84CADE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28446AE"/>
    <w:multiLevelType w:val="hybridMultilevel"/>
    <w:tmpl w:val="DD1ADB5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6E005710"/>
    <w:multiLevelType w:val="hybridMultilevel"/>
    <w:tmpl w:val="98E060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3F"/>
    <w:rsid w:val="0000480D"/>
    <w:rsid w:val="00021E5D"/>
    <w:rsid w:val="000251C1"/>
    <w:rsid w:val="00034F36"/>
    <w:rsid w:val="000450F9"/>
    <w:rsid w:val="00046952"/>
    <w:rsid w:val="00061018"/>
    <w:rsid w:val="00067685"/>
    <w:rsid w:val="000A11E7"/>
    <w:rsid w:val="000A2B5D"/>
    <w:rsid w:val="000A5A08"/>
    <w:rsid w:val="000A6DEB"/>
    <w:rsid w:val="000B0772"/>
    <w:rsid w:val="000C4D15"/>
    <w:rsid w:val="000D3655"/>
    <w:rsid w:val="000D58CE"/>
    <w:rsid w:val="000E1663"/>
    <w:rsid w:val="000E1941"/>
    <w:rsid w:val="000E7E2A"/>
    <w:rsid w:val="00102A5F"/>
    <w:rsid w:val="001050A1"/>
    <w:rsid w:val="001273F5"/>
    <w:rsid w:val="00127ED2"/>
    <w:rsid w:val="00130987"/>
    <w:rsid w:val="00133340"/>
    <w:rsid w:val="0015599F"/>
    <w:rsid w:val="0017075E"/>
    <w:rsid w:val="0017620E"/>
    <w:rsid w:val="00180976"/>
    <w:rsid w:val="001814F7"/>
    <w:rsid w:val="00184B2B"/>
    <w:rsid w:val="001B2688"/>
    <w:rsid w:val="001C3AD0"/>
    <w:rsid w:val="001C3B9D"/>
    <w:rsid w:val="001C56EC"/>
    <w:rsid w:val="001D5A15"/>
    <w:rsid w:val="001D6D80"/>
    <w:rsid w:val="001D75A5"/>
    <w:rsid w:val="001F263D"/>
    <w:rsid w:val="002018A2"/>
    <w:rsid w:val="002179FF"/>
    <w:rsid w:val="00222E65"/>
    <w:rsid w:val="00226026"/>
    <w:rsid w:val="002443C9"/>
    <w:rsid w:val="0025598A"/>
    <w:rsid w:val="002915C9"/>
    <w:rsid w:val="002B7737"/>
    <w:rsid w:val="002C7A70"/>
    <w:rsid w:val="002F3DEF"/>
    <w:rsid w:val="00303AE7"/>
    <w:rsid w:val="00333C79"/>
    <w:rsid w:val="00346B93"/>
    <w:rsid w:val="00376D5B"/>
    <w:rsid w:val="00391D0B"/>
    <w:rsid w:val="003A1610"/>
    <w:rsid w:val="003A7C24"/>
    <w:rsid w:val="003B2289"/>
    <w:rsid w:val="003B5AC1"/>
    <w:rsid w:val="003B6681"/>
    <w:rsid w:val="003D2FB0"/>
    <w:rsid w:val="00400100"/>
    <w:rsid w:val="00433B1D"/>
    <w:rsid w:val="00435FAD"/>
    <w:rsid w:val="0048334C"/>
    <w:rsid w:val="00492D18"/>
    <w:rsid w:val="004971E3"/>
    <w:rsid w:val="004A719E"/>
    <w:rsid w:val="004B29EE"/>
    <w:rsid w:val="004B729A"/>
    <w:rsid w:val="004C6BC9"/>
    <w:rsid w:val="004D4843"/>
    <w:rsid w:val="005011D6"/>
    <w:rsid w:val="00507EF1"/>
    <w:rsid w:val="0051486A"/>
    <w:rsid w:val="00517E79"/>
    <w:rsid w:val="00532B91"/>
    <w:rsid w:val="00567566"/>
    <w:rsid w:val="005754A8"/>
    <w:rsid w:val="00584916"/>
    <w:rsid w:val="005A0EA4"/>
    <w:rsid w:val="005B54ED"/>
    <w:rsid w:val="005C174D"/>
    <w:rsid w:val="005D2F83"/>
    <w:rsid w:val="00603215"/>
    <w:rsid w:val="006600A3"/>
    <w:rsid w:val="006672AF"/>
    <w:rsid w:val="00670208"/>
    <w:rsid w:val="00671DF1"/>
    <w:rsid w:val="00672177"/>
    <w:rsid w:val="00680EAB"/>
    <w:rsid w:val="00681846"/>
    <w:rsid w:val="006A5BE7"/>
    <w:rsid w:val="006A6B5F"/>
    <w:rsid w:val="006B0242"/>
    <w:rsid w:val="006D635D"/>
    <w:rsid w:val="006E7596"/>
    <w:rsid w:val="007004DC"/>
    <w:rsid w:val="00705DD6"/>
    <w:rsid w:val="00706726"/>
    <w:rsid w:val="0074157D"/>
    <w:rsid w:val="00741E62"/>
    <w:rsid w:val="00743500"/>
    <w:rsid w:val="00743543"/>
    <w:rsid w:val="007457D4"/>
    <w:rsid w:val="00746AFC"/>
    <w:rsid w:val="00752B32"/>
    <w:rsid w:val="0077365D"/>
    <w:rsid w:val="00775332"/>
    <w:rsid w:val="007B1E1C"/>
    <w:rsid w:val="007B755B"/>
    <w:rsid w:val="007C05B6"/>
    <w:rsid w:val="007D57FC"/>
    <w:rsid w:val="007E53FA"/>
    <w:rsid w:val="007F2707"/>
    <w:rsid w:val="007F51CB"/>
    <w:rsid w:val="008033CA"/>
    <w:rsid w:val="0081146B"/>
    <w:rsid w:val="00867078"/>
    <w:rsid w:val="00882634"/>
    <w:rsid w:val="00893CE6"/>
    <w:rsid w:val="0089483F"/>
    <w:rsid w:val="008B2860"/>
    <w:rsid w:val="008C2857"/>
    <w:rsid w:val="008D5D6C"/>
    <w:rsid w:val="008F5766"/>
    <w:rsid w:val="009364C7"/>
    <w:rsid w:val="00940A26"/>
    <w:rsid w:val="0094708D"/>
    <w:rsid w:val="009528F9"/>
    <w:rsid w:val="0097360B"/>
    <w:rsid w:val="00985E43"/>
    <w:rsid w:val="0099525A"/>
    <w:rsid w:val="009C0D09"/>
    <w:rsid w:val="009C1CA0"/>
    <w:rsid w:val="009D1130"/>
    <w:rsid w:val="009D3AA5"/>
    <w:rsid w:val="00A35109"/>
    <w:rsid w:val="00A5261A"/>
    <w:rsid w:val="00A54D17"/>
    <w:rsid w:val="00A56E7B"/>
    <w:rsid w:val="00A652CC"/>
    <w:rsid w:val="00A753D9"/>
    <w:rsid w:val="00A77773"/>
    <w:rsid w:val="00A92EA4"/>
    <w:rsid w:val="00AA1C0A"/>
    <w:rsid w:val="00AA621F"/>
    <w:rsid w:val="00AA7814"/>
    <w:rsid w:val="00AB1220"/>
    <w:rsid w:val="00AC5A91"/>
    <w:rsid w:val="00AD40DB"/>
    <w:rsid w:val="00AD47FE"/>
    <w:rsid w:val="00B10823"/>
    <w:rsid w:val="00B112E6"/>
    <w:rsid w:val="00B36F92"/>
    <w:rsid w:val="00B37CF7"/>
    <w:rsid w:val="00B4747E"/>
    <w:rsid w:val="00B5401C"/>
    <w:rsid w:val="00B6561C"/>
    <w:rsid w:val="00B7614A"/>
    <w:rsid w:val="00B83905"/>
    <w:rsid w:val="00B84BF9"/>
    <w:rsid w:val="00B865C2"/>
    <w:rsid w:val="00BA279F"/>
    <w:rsid w:val="00BA79A9"/>
    <w:rsid w:val="00BB26BC"/>
    <w:rsid w:val="00BC1192"/>
    <w:rsid w:val="00BD63D6"/>
    <w:rsid w:val="00BF0914"/>
    <w:rsid w:val="00BF30AE"/>
    <w:rsid w:val="00BF37F6"/>
    <w:rsid w:val="00BF7B0B"/>
    <w:rsid w:val="00C15DDD"/>
    <w:rsid w:val="00C364B6"/>
    <w:rsid w:val="00C540D0"/>
    <w:rsid w:val="00C548D8"/>
    <w:rsid w:val="00C736BE"/>
    <w:rsid w:val="00C76287"/>
    <w:rsid w:val="00C848F2"/>
    <w:rsid w:val="00CA3B86"/>
    <w:rsid w:val="00CA7139"/>
    <w:rsid w:val="00CB4B3C"/>
    <w:rsid w:val="00CB55D7"/>
    <w:rsid w:val="00CB5EED"/>
    <w:rsid w:val="00CE0322"/>
    <w:rsid w:val="00CE5769"/>
    <w:rsid w:val="00D04592"/>
    <w:rsid w:val="00D23A52"/>
    <w:rsid w:val="00D23FD2"/>
    <w:rsid w:val="00D25B6D"/>
    <w:rsid w:val="00D404F1"/>
    <w:rsid w:val="00D50163"/>
    <w:rsid w:val="00D56151"/>
    <w:rsid w:val="00D64B93"/>
    <w:rsid w:val="00D66E2F"/>
    <w:rsid w:val="00D72B85"/>
    <w:rsid w:val="00D75892"/>
    <w:rsid w:val="00D75D38"/>
    <w:rsid w:val="00D857C0"/>
    <w:rsid w:val="00D943E8"/>
    <w:rsid w:val="00DA42F9"/>
    <w:rsid w:val="00DA6DDA"/>
    <w:rsid w:val="00DB05A6"/>
    <w:rsid w:val="00DD1894"/>
    <w:rsid w:val="00DF369F"/>
    <w:rsid w:val="00E23B93"/>
    <w:rsid w:val="00E34216"/>
    <w:rsid w:val="00E520FC"/>
    <w:rsid w:val="00E82074"/>
    <w:rsid w:val="00E86F9B"/>
    <w:rsid w:val="00E92E12"/>
    <w:rsid w:val="00EA14E6"/>
    <w:rsid w:val="00EA349A"/>
    <w:rsid w:val="00EA66E2"/>
    <w:rsid w:val="00EE157D"/>
    <w:rsid w:val="00EE2C8C"/>
    <w:rsid w:val="00EE5F2F"/>
    <w:rsid w:val="00EF6190"/>
    <w:rsid w:val="00F17AC5"/>
    <w:rsid w:val="00F214A6"/>
    <w:rsid w:val="00F21C29"/>
    <w:rsid w:val="00F22157"/>
    <w:rsid w:val="00F310B4"/>
    <w:rsid w:val="00F31C82"/>
    <w:rsid w:val="00F3443A"/>
    <w:rsid w:val="00F35F2C"/>
    <w:rsid w:val="00F41008"/>
    <w:rsid w:val="00F4252F"/>
    <w:rsid w:val="00F453A8"/>
    <w:rsid w:val="00F546A7"/>
    <w:rsid w:val="00F62142"/>
    <w:rsid w:val="00F73D76"/>
    <w:rsid w:val="00F8258F"/>
    <w:rsid w:val="00F864C7"/>
    <w:rsid w:val="00F87895"/>
    <w:rsid w:val="00F920A8"/>
    <w:rsid w:val="00F97DAA"/>
    <w:rsid w:val="00FB3719"/>
    <w:rsid w:val="00FD7256"/>
    <w:rsid w:val="00FE0CA4"/>
    <w:rsid w:val="00FF488C"/>
    <w:rsid w:val="00FF5C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C234D-D1C6-4CB7-89CE-D928AB4A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98A"/>
    <w:rPr>
      <w:sz w:val="16"/>
      <w:szCs w:val="16"/>
    </w:rPr>
  </w:style>
  <w:style w:type="paragraph" w:styleId="CommentText">
    <w:name w:val="annotation text"/>
    <w:basedOn w:val="Normal"/>
    <w:link w:val="CommentTextChar"/>
    <w:uiPriority w:val="99"/>
    <w:semiHidden/>
    <w:unhideWhenUsed/>
    <w:rsid w:val="0025598A"/>
    <w:pPr>
      <w:spacing w:after="200"/>
      <w:jc w:val="left"/>
    </w:pPr>
    <w:rPr>
      <w:sz w:val="20"/>
      <w:szCs w:val="20"/>
    </w:rPr>
  </w:style>
  <w:style w:type="character" w:customStyle="1" w:styleId="CommentTextChar">
    <w:name w:val="Comment Text Char"/>
    <w:basedOn w:val="DefaultParagraphFont"/>
    <w:link w:val="CommentText"/>
    <w:uiPriority w:val="99"/>
    <w:semiHidden/>
    <w:rsid w:val="0025598A"/>
    <w:rPr>
      <w:sz w:val="20"/>
      <w:szCs w:val="20"/>
    </w:rPr>
  </w:style>
  <w:style w:type="paragraph" w:styleId="BalloonText">
    <w:name w:val="Balloon Text"/>
    <w:basedOn w:val="Normal"/>
    <w:link w:val="BalloonTextChar"/>
    <w:uiPriority w:val="99"/>
    <w:semiHidden/>
    <w:unhideWhenUsed/>
    <w:rsid w:val="0025598A"/>
    <w:rPr>
      <w:rFonts w:ascii="Tahoma" w:hAnsi="Tahoma" w:cs="Tahoma"/>
      <w:sz w:val="16"/>
      <w:szCs w:val="16"/>
    </w:rPr>
  </w:style>
  <w:style w:type="character" w:customStyle="1" w:styleId="BalloonTextChar">
    <w:name w:val="Balloon Text Char"/>
    <w:basedOn w:val="DefaultParagraphFont"/>
    <w:link w:val="BalloonText"/>
    <w:uiPriority w:val="99"/>
    <w:semiHidden/>
    <w:rsid w:val="0025598A"/>
    <w:rPr>
      <w:rFonts w:ascii="Tahoma" w:hAnsi="Tahoma" w:cs="Tahoma"/>
      <w:sz w:val="16"/>
      <w:szCs w:val="16"/>
    </w:rPr>
  </w:style>
  <w:style w:type="paragraph" w:styleId="ListParagraph">
    <w:name w:val="List Paragraph"/>
    <w:basedOn w:val="Normal"/>
    <w:uiPriority w:val="34"/>
    <w:qFormat/>
    <w:rsid w:val="00CA3B86"/>
    <w:pPr>
      <w:ind w:left="720"/>
      <w:contextualSpacing/>
    </w:pPr>
  </w:style>
  <w:style w:type="paragraph" w:styleId="Header">
    <w:name w:val="header"/>
    <w:basedOn w:val="Normal"/>
    <w:link w:val="HeaderChar"/>
    <w:uiPriority w:val="99"/>
    <w:unhideWhenUsed/>
    <w:rsid w:val="003A7C24"/>
    <w:pPr>
      <w:tabs>
        <w:tab w:val="center" w:pos="4536"/>
        <w:tab w:val="right" w:pos="9072"/>
      </w:tabs>
    </w:pPr>
  </w:style>
  <w:style w:type="character" w:customStyle="1" w:styleId="HeaderChar">
    <w:name w:val="Header Char"/>
    <w:basedOn w:val="DefaultParagraphFont"/>
    <w:link w:val="Header"/>
    <w:uiPriority w:val="99"/>
    <w:rsid w:val="003A7C24"/>
  </w:style>
  <w:style w:type="paragraph" w:styleId="Footer">
    <w:name w:val="footer"/>
    <w:basedOn w:val="Normal"/>
    <w:link w:val="FooterChar"/>
    <w:uiPriority w:val="99"/>
    <w:unhideWhenUsed/>
    <w:rsid w:val="003A7C24"/>
    <w:pPr>
      <w:tabs>
        <w:tab w:val="center" w:pos="4536"/>
        <w:tab w:val="right" w:pos="9072"/>
      </w:tabs>
    </w:pPr>
  </w:style>
  <w:style w:type="character" w:customStyle="1" w:styleId="FooterChar">
    <w:name w:val="Footer Char"/>
    <w:basedOn w:val="DefaultParagraphFont"/>
    <w:link w:val="Footer"/>
    <w:uiPriority w:val="99"/>
    <w:rsid w:val="003A7C24"/>
  </w:style>
  <w:style w:type="paragraph" w:styleId="CommentSubject">
    <w:name w:val="annotation subject"/>
    <w:basedOn w:val="CommentText"/>
    <w:next w:val="CommentText"/>
    <w:link w:val="CommentSubjectChar"/>
    <w:uiPriority w:val="99"/>
    <w:semiHidden/>
    <w:unhideWhenUsed/>
    <w:rsid w:val="000A6DEB"/>
    <w:pPr>
      <w:spacing w:after="0"/>
      <w:jc w:val="both"/>
    </w:pPr>
    <w:rPr>
      <w:b/>
      <w:bCs/>
    </w:rPr>
  </w:style>
  <w:style w:type="character" w:customStyle="1" w:styleId="CommentSubjectChar">
    <w:name w:val="Comment Subject Char"/>
    <w:basedOn w:val="CommentTextChar"/>
    <w:link w:val="CommentSubject"/>
    <w:uiPriority w:val="99"/>
    <w:semiHidden/>
    <w:rsid w:val="000A6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3171">
      <w:bodyDiv w:val="1"/>
      <w:marLeft w:val="0"/>
      <w:marRight w:val="0"/>
      <w:marTop w:val="0"/>
      <w:marBottom w:val="0"/>
      <w:divBdr>
        <w:top w:val="none" w:sz="0" w:space="0" w:color="auto"/>
        <w:left w:val="none" w:sz="0" w:space="0" w:color="auto"/>
        <w:bottom w:val="none" w:sz="0" w:space="0" w:color="auto"/>
        <w:right w:val="none" w:sz="0" w:space="0" w:color="auto"/>
      </w:divBdr>
    </w:div>
    <w:div w:id="1560286955">
      <w:bodyDiv w:val="1"/>
      <w:marLeft w:val="0"/>
      <w:marRight w:val="0"/>
      <w:marTop w:val="0"/>
      <w:marBottom w:val="0"/>
      <w:divBdr>
        <w:top w:val="none" w:sz="0" w:space="0" w:color="auto"/>
        <w:left w:val="none" w:sz="0" w:space="0" w:color="auto"/>
        <w:bottom w:val="none" w:sz="0" w:space="0" w:color="auto"/>
        <w:right w:val="none" w:sz="0" w:space="0" w:color="auto"/>
      </w:divBdr>
      <w:divsChild>
        <w:div w:id="1200629148">
          <w:marLeft w:val="0"/>
          <w:marRight w:val="0"/>
          <w:marTop w:val="0"/>
          <w:marBottom w:val="0"/>
          <w:divBdr>
            <w:top w:val="none" w:sz="0" w:space="0" w:color="auto"/>
            <w:left w:val="none" w:sz="0" w:space="0" w:color="auto"/>
            <w:bottom w:val="none" w:sz="0" w:space="0" w:color="auto"/>
            <w:right w:val="none" w:sz="0" w:space="0" w:color="auto"/>
          </w:divBdr>
          <w:divsChild>
            <w:div w:id="1431076758">
              <w:marLeft w:val="300"/>
              <w:marRight w:val="300"/>
              <w:marTop w:val="0"/>
              <w:marBottom w:val="0"/>
              <w:divBdr>
                <w:top w:val="none" w:sz="0" w:space="0" w:color="auto"/>
                <w:left w:val="none" w:sz="0" w:space="0" w:color="auto"/>
                <w:bottom w:val="none" w:sz="0" w:space="0" w:color="auto"/>
                <w:right w:val="none" w:sz="0" w:space="0" w:color="auto"/>
              </w:divBdr>
              <w:divsChild>
                <w:div w:id="45767352">
                  <w:marLeft w:val="0"/>
                  <w:marRight w:val="0"/>
                  <w:marTop w:val="0"/>
                  <w:marBottom w:val="0"/>
                  <w:divBdr>
                    <w:top w:val="none" w:sz="0" w:space="0" w:color="auto"/>
                    <w:left w:val="none" w:sz="0" w:space="0" w:color="auto"/>
                    <w:bottom w:val="none" w:sz="0" w:space="0" w:color="auto"/>
                    <w:right w:val="none" w:sz="0" w:space="0" w:color="auto"/>
                  </w:divBdr>
                  <w:divsChild>
                    <w:div w:id="1683314517">
                      <w:marLeft w:val="0"/>
                      <w:marRight w:val="0"/>
                      <w:marTop w:val="0"/>
                      <w:marBottom w:val="0"/>
                      <w:divBdr>
                        <w:top w:val="none" w:sz="0" w:space="0" w:color="auto"/>
                        <w:left w:val="none" w:sz="0" w:space="0" w:color="auto"/>
                        <w:bottom w:val="none" w:sz="0" w:space="0" w:color="auto"/>
                        <w:right w:val="none" w:sz="0" w:space="0" w:color="auto"/>
                      </w:divBdr>
                      <w:divsChild>
                        <w:div w:id="1333995525">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1964536987">
      <w:bodyDiv w:val="1"/>
      <w:marLeft w:val="0"/>
      <w:marRight w:val="0"/>
      <w:marTop w:val="0"/>
      <w:marBottom w:val="0"/>
      <w:divBdr>
        <w:top w:val="none" w:sz="0" w:space="0" w:color="auto"/>
        <w:left w:val="none" w:sz="0" w:space="0" w:color="auto"/>
        <w:bottom w:val="none" w:sz="0" w:space="0" w:color="auto"/>
        <w:right w:val="none" w:sz="0" w:space="0" w:color="auto"/>
      </w:divBdr>
      <w:divsChild>
        <w:div w:id="593633879">
          <w:marLeft w:val="0"/>
          <w:marRight w:val="0"/>
          <w:marTop w:val="0"/>
          <w:marBottom w:val="0"/>
          <w:divBdr>
            <w:top w:val="none" w:sz="0" w:space="0" w:color="auto"/>
            <w:left w:val="none" w:sz="0" w:space="0" w:color="auto"/>
            <w:bottom w:val="none" w:sz="0" w:space="0" w:color="auto"/>
            <w:right w:val="none" w:sz="0" w:space="0" w:color="auto"/>
          </w:divBdr>
          <w:divsChild>
            <w:div w:id="733087689">
              <w:marLeft w:val="300"/>
              <w:marRight w:val="300"/>
              <w:marTop w:val="0"/>
              <w:marBottom w:val="0"/>
              <w:divBdr>
                <w:top w:val="none" w:sz="0" w:space="0" w:color="auto"/>
                <w:left w:val="none" w:sz="0" w:space="0" w:color="auto"/>
                <w:bottom w:val="none" w:sz="0" w:space="0" w:color="auto"/>
                <w:right w:val="none" w:sz="0" w:space="0" w:color="auto"/>
              </w:divBdr>
              <w:divsChild>
                <w:div w:id="1148011993">
                  <w:marLeft w:val="0"/>
                  <w:marRight w:val="0"/>
                  <w:marTop w:val="0"/>
                  <w:marBottom w:val="0"/>
                  <w:divBdr>
                    <w:top w:val="none" w:sz="0" w:space="0" w:color="auto"/>
                    <w:left w:val="none" w:sz="0" w:space="0" w:color="auto"/>
                    <w:bottom w:val="none" w:sz="0" w:space="0" w:color="auto"/>
                    <w:right w:val="none" w:sz="0" w:space="0" w:color="auto"/>
                  </w:divBdr>
                  <w:divsChild>
                    <w:div w:id="149711211">
                      <w:marLeft w:val="0"/>
                      <w:marRight w:val="0"/>
                      <w:marTop w:val="0"/>
                      <w:marBottom w:val="0"/>
                      <w:divBdr>
                        <w:top w:val="none" w:sz="0" w:space="0" w:color="auto"/>
                        <w:left w:val="none" w:sz="0" w:space="0" w:color="auto"/>
                        <w:bottom w:val="none" w:sz="0" w:space="0" w:color="auto"/>
                        <w:right w:val="none" w:sz="0" w:space="0" w:color="auto"/>
                      </w:divBdr>
                      <w:divsChild>
                        <w:div w:id="1187792631">
                          <w:marLeft w:val="0"/>
                          <w:marRight w:val="0"/>
                          <w:marTop w:val="0"/>
                          <w:marBottom w:val="0"/>
                          <w:divBdr>
                            <w:top w:val="single" w:sz="6" w:space="5" w:color="FFFFFF"/>
                            <w:left w:val="none" w:sz="0" w:space="0" w:color="auto"/>
                            <w:bottom w:val="none" w:sz="0" w:space="0" w:color="auto"/>
                            <w:right w:val="none" w:sz="0" w:space="0" w:color="auto"/>
                          </w:divBdr>
                          <w:divsChild>
                            <w:div w:id="1072198777">
                              <w:marLeft w:val="0"/>
                              <w:marRight w:val="105"/>
                              <w:marTop w:val="0"/>
                              <w:marBottom w:val="90"/>
                              <w:divBdr>
                                <w:top w:val="single" w:sz="6" w:space="1" w:color="D8D8D8"/>
                                <w:left w:val="single" w:sz="6" w:space="6" w:color="D8D8D8"/>
                                <w:bottom w:val="single" w:sz="6" w:space="1" w:color="D8D8D8"/>
                                <w:right w:val="single" w:sz="6" w:space="6" w:color="D8D8D8"/>
                              </w:divBdr>
                            </w:div>
                            <w:div w:id="15878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E2F1-F3D9-44CD-A019-C3EC5A68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11634</Characters>
  <Application>Microsoft Office Word</Application>
  <DocSecurity>0</DocSecurity>
  <Lines>96</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Nedelkov</dc:creator>
  <cp:lastModifiedBy>Biser Kirilov Petrov</cp:lastModifiedBy>
  <cp:revision>2</cp:revision>
  <cp:lastPrinted>2020-10-08T07:59:00Z</cp:lastPrinted>
  <dcterms:created xsi:type="dcterms:W3CDTF">2021-04-15T07:00:00Z</dcterms:created>
  <dcterms:modified xsi:type="dcterms:W3CDTF">2021-04-15T07:00:00Z</dcterms:modified>
</cp:coreProperties>
</file>