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CC" w:rsidRDefault="00D612CC" w:rsidP="00887DDF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:rsidR="00D612CC" w:rsidRDefault="00D612CC" w:rsidP="00887DDF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:rsidR="00D612CC" w:rsidRDefault="00D612CC" w:rsidP="00887DDF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:rsidR="00D612CC" w:rsidRDefault="00D612CC" w:rsidP="00887DDF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:rsidR="00D612CC" w:rsidRDefault="00D612CC" w:rsidP="00887DDF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:rsidR="00887DDF" w:rsidRPr="00887DDF" w:rsidRDefault="00887DDF" w:rsidP="00887DDF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</w:pPr>
      <w:proofErr w:type="gramStart"/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Р</w:t>
      </w:r>
      <w:proofErr w:type="gramEnd"/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Е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П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У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Б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Л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И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К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А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 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 xml:space="preserve"> Б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Ъ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Л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Г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А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Р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И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bg-BG"/>
        </w:rPr>
        <w:t xml:space="preserve"> </w:t>
      </w:r>
      <w:r w:rsidRPr="00887DDF">
        <w:rPr>
          <w:rFonts w:ascii="Times New Roman" w:eastAsia="Times" w:hAnsi="Times New Roman" w:cs="Times New Roman"/>
          <w:color w:val="000000"/>
          <w:sz w:val="24"/>
          <w:szCs w:val="20"/>
          <w:lang w:val="ru-RU"/>
        </w:rPr>
        <w:t>Я</w:t>
      </w:r>
    </w:p>
    <w:p w:rsidR="00887DDF" w:rsidRPr="00887DDF" w:rsidRDefault="00887DDF" w:rsidP="00887DDF">
      <w:pPr>
        <w:keepNext/>
        <w:pBdr>
          <w:bottom w:val="single" w:sz="6" w:space="1" w:color="auto"/>
        </w:pBdr>
        <w:spacing w:after="0" w:line="240" w:lineRule="auto"/>
        <w:jc w:val="center"/>
        <w:outlineLvl w:val="1"/>
        <w:rPr>
          <w:rFonts w:ascii="Times New Roman" w:eastAsia="Times" w:hAnsi="Times New Roman" w:cs="Times New Roman"/>
          <w:b/>
          <w:color w:val="000000"/>
          <w:sz w:val="24"/>
          <w:szCs w:val="20"/>
          <w:lang w:val="ru-RU"/>
        </w:rPr>
      </w:pPr>
      <w:r w:rsidRPr="00887DDF">
        <w:rPr>
          <w:rFonts w:ascii="Times New Roman" w:eastAsia="Times" w:hAnsi="Times New Roman" w:cs="Times New Roman"/>
          <w:b/>
          <w:color w:val="000000"/>
          <w:sz w:val="24"/>
          <w:szCs w:val="20"/>
          <w:lang w:val="ru-RU"/>
        </w:rPr>
        <w:t xml:space="preserve">М  И  Н  И  С  Т  Е  </w:t>
      </w:r>
      <w:proofErr w:type="gramStart"/>
      <w:r w:rsidRPr="00887DDF">
        <w:rPr>
          <w:rFonts w:ascii="Times New Roman" w:eastAsia="Times" w:hAnsi="Times New Roman" w:cs="Times New Roman"/>
          <w:b/>
          <w:color w:val="000000"/>
          <w:sz w:val="24"/>
          <w:szCs w:val="20"/>
          <w:lang w:val="ru-RU"/>
        </w:rPr>
        <w:t>Р</w:t>
      </w:r>
      <w:proofErr w:type="gramEnd"/>
      <w:r w:rsidRPr="00887DDF">
        <w:rPr>
          <w:rFonts w:ascii="Times New Roman" w:eastAsia="Times" w:hAnsi="Times New Roman" w:cs="Times New Roman"/>
          <w:b/>
          <w:color w:val="000000"/>
          <w:sz w:val="24"/>
          <w:szCs w:val="20"/>
          <w:lang w:val="ru-RU"/>
        </w:rPr>
        <w:t xml:space="preserve">  С  К  И     С Ъ В Е Т</w:t>
      </w:r>
    </w:p>
    <w:p w:rsidR="00887DDF" w:rsidRDefault="00887DDF" w:rsidP="00887DDF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D612CC" w:rsidRDefault="00D612CC" w:rsidP="00887DDF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D612CC" w:rsidRDefault="00D612CC" w:rsidP="00887DDF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D612CC" w:rsidRPr="00D612CC" w:rsidRDefault="00D612CC" w:rsidP="00887DDF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8B68E3" w:rsidRPr="00D612CC" w:rsidRDefault="008B68E3" w:rsidP="00887DDF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887DDF" w:rsidRPr="00887DDF" w:rsidRDefault="00887DDF" w:rsidP="00887DDF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val="ru-RU"/>
        </w:rPr>
      </w:pPr>
      <w:proofErr w:type="gramStart"/>
      <w:r w:rsidRPr="00887DDF">
        <w:rPr>
          <w:rFonts w:ascii="Times New Roman" w:eastAsia="Times" w:hAnsi="Times New Roman" w:cs="Times New Roman"/>
          <w:b/>
          <w:sz w:val="24"/>
          <w:szCs w:val="24"/>
          <w:lang w:val="ru-RU"/>
        </w:rPr>
        <w:t>П</w:t>
      </w:r>
      <w:proofErr w:type="gramEnd"/>
      <w:r w:rsidRPr="00887DDF">
        <w:rPr>
          <w:rFonts w:ascii="Times New Roman" w:eastAsia="Times" w:hAnsi="Times New Roman" w:cs="Times New Roman"/>
          <w:b/>
          <w:sz w:val="24"/>
          <w:szCs w:val="24"/>
          <w:lang w:val="ru-RU"/>
        </w:rPr>
        <w:t xml:space="preserve"> О С Т А Н О В Л Е Н И Е  № _____</w:t>
      </w:r>
    </w:p>
    <w:p w:rsidR="00887DDF" w:rsidRPr="00887DDF" w:rsidRDefault="00887DDF" w:rsidP="00887DDF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val="ru-RU"/>
        </w:rPr>
      </w:pPr>
    </w:p>
    <w:p w:rsidR="00887DDF" w:rsidRPr="00887DDF" w:rsidRDefault="00887DDF" w:rsidP="00887DDF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887DDF">
        <w:rPr>
          <w:rFonts w:ascii="Times New Roman" w:eastAsia="Times" w:hAnsi="Times New Roman" w:cs="Times New Roman"/>
          <w:b/>
          <w:sz w:val="24"/>
          <w:szCs w:val="24"/>
          <w:lang w:val="ru-RU"/>
        </w:rPr>
        <w:t>от ______________ 2014 г.</w:t>
      </w:r>
    </w:p>
    <w:p w:rsidR="00D612CC" w:rsidRDefault="00887DDF" w:rsidP="00887DD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изменение и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допълнение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таксите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летищата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за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аеронавигационно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обслужване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Република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България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Постановление № 280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Министерския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1998 г. (</w:t>
      </w:r>
      <w:proofErr w:type="spellStart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обн</w:t>
      </w:r>
      <w:proofErr w:type="spellEnd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., ДВ, </w:t>
      </w:r>
      <w:hyperlink r:id="rId9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2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1999 г., изм. и доп., </w:t>
      </w:r>
      <w:hyperlink r:id="rId10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15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2000 г., </w:t>
      </w:r>
      <w:hyperlink r:id="rId11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9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2001 г., </w:t>
      </w:r>
      <w:hyperlink r:id="rId12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62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2001 г., </w:t>
      </w:r>
      <w:hyperlink r:id="rId13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19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</w:t>
      </w:r>
      <w:proofErr w:type="gramEnd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2002 г., изм., </w:t>
      </w:r>
      <w:hyperlink r:id="rId14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16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2003 г., </w:t>
      </w:r>
      <w:hyperlink r:id="rId15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32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2004 г., доп., </w:t>
      </w:r>
      <w:hyperlink r:id="rId16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71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2004 г., изм., </w:t>
      </w:r>
      <w:hyperlink r:id="rId17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15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2005 г., </w:t>
      </w:r>
      <w:hyperlink r:id="rId18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96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2005 г., </w:t>
      </w:r>
      <w:hyperlink r:id="rId19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22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2006 г., изм. и доп., </w:t>
      </w:r>
      <w:hyperlink r:id="rId20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1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2007 г., </w:t>
      </w:r>
      <w:hyperlink r:id="rId21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25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2007 г., изм., </w:t>
      </w:r>
      <w:hyperlink r:id="rId22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34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2008 г., </w:t>
      </w:r>
      <w:proofErr w:type="spellStart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бр</w:t>
      </w:r>
      <w:proofErr w:type="spellEnd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 92 от 2008 г.; изм</w:t>
      </w:r>
      <w:proofErr w:type="gramEnd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и доп., </w:t>
      </w:r>
      <w:hyperlink r:id="rId23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28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2010 г., изм., </w:t>
      </w:r>
      <w:hyperlink r:id="rId24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20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2011 г., изм. и доп., </w:t>
      </w:r>
      <w:hyperlink r:id="rId25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107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2011 г., </w:t>
      </w:r>
      <w:hyperlink r:id="rId26" w:history="1">
        <w:proofErr w:type="spellStart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бр</w:t>
        </w:r>
        <w:proofErr w:type="spellEnd"/>
        <w:r w:rsidRPr="00887DDF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t>. 94</w:t>
        </w:r>
      </w:hyperlink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2012 г., </w:t>
      </w:r>
      <w:proofErr w:type="spellStart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бр</w:t>
      </w:r>
      <w:proofErr w:type="spellEnd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38 от 2013 г., доп., </w:t>
      </w:r>
      <w:proofErr w:type="spellStart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бр</w:t>
      </w:r>
      <w:proofErr w:type="spellEnd"/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 41 от 2014 г.)</w:t>
      </w:r>
      <w:r w:rsidRPr="00887D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bookmarkStart w:id="0" w:name="to_paragraph_id10305097"/>
      <w:bookmarkEnd w:id="0"/>
    </w:p>
    <w:p w:rsidR="00D612CC" w:rsidRPr="00D612CC" w:rsidRDefault="00D612CC" w:rsidP="00887DD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87DDF" w:rsidRPr="00D612CC" w:rsidRDefault="00887DDF" w:rsidP="00D612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D612CC">
        <w:rPr>
          <w:rFonts w:ascii="Times New Roman" w:hAnsi="Times New Roman" w:cs="Times New Roman"/>
          <w:b/>
          <w:sz w:val="24"/>
          <w:szCs w:val="24"/>
          <w:lang w:val="bg-BG" w:eastAsia="bg-BG"/>
        </w:rPr>
        <w:t>МИНИСТЕРСКИЯТ СЪВЕТ</w:t>
      </w:r>
    </w:p>
    <w:p w:rsidR="00887DDF" w:rsidRPr="00D612CC" w:rsidRDefault="00887DDF" w:rsidP="00D612CC">
      <w:pPr>
        <w:pStyle w:val="NoSpacing"/>
        <w:jc w:val="center"/>
        <w:rPr>
          <w:rFonts w:ascii="Times New Roman" w:eastAsia="Times" w:hAnsi="Times New Roman" w:cs="Times New Roman"/>
          <w:b/>
          <w:sz w:val="24"/>
          <w:szCs w:val="24"/>
          <w:lang w:val="ru-RU"/>
        </w:rPr>
      </w:pPr>
      <w:r w:rsidRPr="00D612CC">
        <w:rPr>
          <w:rFonts w:ascii="Times New Roman" w:eastAsia="Times" w:hAnsi="Times New Roman" w:cs="Times New Roman"/>
          <w:b/>
          <w:sz w:val="24"/>
          <w:szCs w:val="24"/>
          <w:lang w:val="ru-RU"/>
        </w:rPr>
        <w:t>ПОСТАНОВИ:</w:t>
      </w:r>
    </w:p>
    <w:p w:rsidR="00887DDF" w:rsidRPr="00887DDF" w:rsidRDefault="00887DDF" w:rsidP="00887DDF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</w:p>
    <w:p w:rsidR="00887DDF" w:rsidRPr="008B68E3" w:rsidRDefault="00887DDF" w:rsidP="008B68E3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  <w:r w:rsidRPr="00887DDF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 xml:space="preserve">§ 1. </w:t>
      </w:r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В чл. 1, ал. 2 </w:t>
      </w:r>
      <w:proofErr w:type="spellStart"/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накрая</w:t>
      </w:r>
      <w:proofErr w:type="spellEnd"/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добавя</w:t>
      </w:r>
      <w:proofErr w:type="spellEnd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„</w:t>
      </w:r>
      <w:proofErr w:type="spellStart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съгласно</w:t>
      </w:r>
      <w:proofErr w:type="spellEnd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FB3665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риложени</w:t>
      </w:r>
      <w:r w:rsidR="00123849" w:rsidRPr="00FB3665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е</w:t>
      </w:r>
      <w:r w:rsidRPr="00FB3665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№ 1а</w:t>
      </w:r>
      <w:r w:rsidR="00123849" w:rsidRPr="00FB3665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</w:t>
      </w:r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«Размер на </w:t>
      </w:r>
      <w:proofErr w:type="spellStart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летищните</w:t>
      </w:r>
      <w:proofErr w:type="spellEnd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такси от </w:t>
      </w:r>
      <w:r w:rsidR="008B68E3" w:rsidRPr="008B68E3">
        <w:rPr>
          <w:rFonts w:ascii="Times New Roman" w:eastAsia="Times" w:hAnsi="Times New Roman" w:cs="Times New Roman"/>
          <w:sz w:val="24"/>
          <w:szCs w:val="24"/>
          <w:lang w:val="bg-BG"/>
        </w:rPr>
        <w:t>1 юли 2013</w:t>
      </w:r>
      <w:r w:rsidR="008B68E3" w:rsidRPr="008B68E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8B68E3" w:rsidRPr="008B68E3">
        <w:rPr>
          <w:rFonts w:ascii="Times New Roman" w:eastAsia="Times" w:hAnsi="Times New Roman" w:cs="Times New Roman"/>
          <w:sz w:val="24"/>
          <w:szCs w:val="24"/>
          <w:lang w:val="bg-BG"/>
        </w:rPr>
        <w:t>г. до 30 юни 2014 г.</w:t>
      </w:r>
      <w:r w:rsid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“ </w:t>
      </w:r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и П</w:t>
      </w:r>
      <w:r w:rsidR="00123849"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риложение № 1б</w:t>
      </w:r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«Размер на </w:t>
      </w:r>
      <w:proofErr w:type="spellStart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летищните</w:t>
      </w:r>
      <w:proofErr w:type="spellEnd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такси </w:t>
      </w:r>
      <w:proofErr w:type="gramStart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1 юли 2014 г.</w:t>
      </w:r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bg-BG"/>
        </w:rPr>
        <w:t>“</w:t>
      </w:r>
      <w:r w:rsidR="008B68E3">
        <w:rPr>
          <w:rFonts w:ascii="Times New Roman" w:eastAsia="Times" w:hAnsi="Times New Roman" w:cs="Times New Roman"/>
          <w:color w:val="000000"/>
          <w:sz w:val="24"/>
          <w:szCs w:val="24"/>
          <w:lang w:val="bg-BG"/>
        </w:rPr>
        <w:t>.</w:t>
      </w:r>
    </w:p>
    <w:p w:rsidR="00887DDF" w:rsidRPr="00887DDF" w:rsidRDefault="00887DDF" w:rsidP="008B68E3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bg-BG"/>
        </w:rPr>
      </w:pPr>
    </w:p>
    <w:p w:rsidR="00887DDF" w:rsidRPr="00887DDF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887DDF">
        <w:rPr>
          <w:rFonts w:ascii="Times New Roman" w:eastAsia="Times" w:hAnsi="Times New Roman" w:cs="Times New Roman"/>
          <w:b/>
          <w:sz w:val="24"/>
          <w:szCs w:val="24"/>
          <w:lang w:val="ru-RU"/>
        </w:rPr>
        <w:tab/>
        <w:t>§ 2.</w:t>
      </w:r>
      <w:r w:rsidRPr="00887DDF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</w:t>
      </w:r>
      <w:r w:rsidRPr="00887DDF">
        <w:rPr>
          <w:rFonts w:ascii="Timok TT" w:eastAsia="Times" w:hAnsi="Timok TT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887DDF">
        <w:rPr>
          <w:rFonts w:ascii="Times New Roman" w:eastAsia="Times" w:hAnsi="Times New Roman" w:cs="Times New Roman"/>
          <w:sz w:val="24"/>
          <w:szCs w:val="24"/>
          <w:lang w:val="ru-RU"/>
        </w:rPr>
        <w:t>Създава</w:t>
      </w:r>
      <w:proofErr w:type="spellEnd"/>
      <w:r w:rsidRPr="00887DDF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се чл. 1а:</w:t>
      </w:r>
    </w:p>
    <w:p w:rsidR="00887DDF" w:rsidRPr="00887DDF" w:rsidRDefault="00887DDF" w:rsidP="008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gram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„Чл. 1а. (1)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Летищният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оператор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летището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годишен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трафик над 5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милиона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превозени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пътници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летищният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оператор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летището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най-голям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пътнически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превози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територията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Република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България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месец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независимия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надзорен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орган по чл. 16д, ал. 1 от Закона за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гражданското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въздухоплаване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събрани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 от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летищните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такси по чл. 120, ал. 1 от</w:t>
      </w:r>
      <w:proofErr w:type="gram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закона, за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87DDF" w:rsidRPr="00887DDF" w:rsidRDefault="00887DDF" w:rsidP="008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(2) Средствата за изпълнение на функциите на независимия надзорен орган се утвърждават от главния директор на Главна дирекция „Гражданска въздухоплавателна администрация” и се разходват целево чрез бюджета на Министерството на транспорта, информационните технологии и съобщенията.“</w:t>
      </w:r>
    </w:p>
    <w:p w:rsidR="00887DDF" w:rsidRPr="00887DDF" w:rsidRDefault="00887DDF" w:rsidP="00887DDF">
      <w:pPr>
        <w:shd w:val="clear" w:color="auto" w:fill="FFFFFF"/>
        <w:spacing w:before="269" w:after="0" w:line="240" w:lineRule="auto"/>
        <w:ind w:left="773"/>
        <w:rPr>
          <w:rFonts w:ascii="Timok TT" w:eastAsia="Times" w:hAnsi="Timok TT" w:cs="Times New Roman"/>
          <w:color w:val="000000"/>
          <w:sz w:val="20"/>
          <w:szCs w:val="20"/>
          <w:lang w:val="ru-RU"/>
        </w:rPr>
      </w:pPr>
      <w:r w:rsidRPr="00887DDF">
        <w:rPr>
          <w:rFonts w:ascii="Timok TT" w:eastAsia="Times" w:hAnsi="Timok TT" w:cs="Times New Roman"/>
          <w:b/>
          <w:bCs/>
          <w:color w:val="000000"/>
          <w:sz w:val="24"/>
          <w:szCs w:val="24"/>
          <w:lang w:val="ru-RU"/>
        </w:rPr>
        <w:t xml:space="preserve">§ 3. </w:t>
      </w:r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В чл. 7, ал. 2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числото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„10.89“ се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заменя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с „10.24“.</w:t>
      </w:r>
    </w:p>
    <w:p w:rsidR="00887DDF" w:rsidRPr="00887DDF" w:rsidRDefault="00887DDF" w:rsidP="00887DDF">
      <w:pPr>
        <w:shd w:val="clear" w:color="auto" w:fill="FFFFFF"/>
        <w:spacing w:before="269" w:after="0" w:line="240" w:lineRule="auto"/>
        <w:ind w:left="773"/>
        <w:rPr>
          <w:rFonts w:ascii="Timok TT" w:eastAsia="Times" w:hAnsi="Timok TT" w:cs="Times New Roman"/>
          <w:color w:val="000000"/>
          <w:sz w:val="20"/>
          <w:szCs w:val="20"/>
          <w:lang w:val="ru-RU"/>
        </w:rPr>
      </w:pPr>
      <w:r w:rsidRPr="00887DDF">
        <w:rPr>
          <w:rFonts w:ascii="Timok TT" w:eastAsia="Times" w:hAnsi="Timok TT" w:cs="Times New Roman"/>
          <w:b/>
          <w:color w:val="000000"/>
          <w:spacing w:val="-1"/>
          <w:sz w:val="24"/>
          <w:szCs w:val="24"/>
          <w:lang w:val="ru-RU"/>
        </w:rPr>
        <w:t>§ 4.</w:t>
      </w:r>
      <w:r w:rsidRPr="00887DDF">
        <w:rPr>
          <w:rFonts w:ascii="Timok TT" w:eastAsia="Times" w:hAnsi="Timok TT" w:cs="Times New Roman"/>
          <w:color w:val="000000"/>
          <w:spacing w:val="-1"/>
          <w:sz w:val="24"/>
          <w:szCs w:val="24"/>
          <w:lang w:val="ru-RU"/>
        </w:rPr>
        <w:t xml:space="preserve"> В чл. 18, ал. 3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числото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„36.49“ се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заменя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с „37.53“.</w:t>
      </w:r>
    </w:p>
    <w:p w:rsidR="00887DDF" w:rsidRPr="00887DDF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  <w:r w:rsidRPr="00887DDF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</w:p>
    <w:p w:rsidR="00887DDF" w:rsidRPr="00887DDF" w:rsidRDefault="00887DDF" w:rsidP="00887DDF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  <w:r w:rsidRPr="00887DDF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 xml:space="preserve">§ 5. </w:t>
      </w:r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bg-BG"/>
        </w:rPr>
        <w:t xml:space="preserve">Създава се </w:t>
      </w:r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приложение № 1а </w:t>
      </w:r>
      <w:proofErr w:type="spellStart"/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чл. 1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 2</w:t>
      </w:r>
      <w:r w:rsidRPr="00887DDF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:</w:t>
      </w:r>
    </w:p>
    <w:p w:rsidR="00887DDF" w:rsidRPr="00887DDF" w:rsidRDefault="00887DDF" w:rsidP="00887DDF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</w:p>
    <w:p w:rsidR="00887DDF" w:rsidRDefault="00887DDF" w:rsidP="00887DD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„Приложение № 1а към чл. 1, ал. 2</w:t>
      </w:r>
    </w:p>
    <w:p w:rsidR="008B68E3" w:rsidRPr="00887DDF" w:rsidRDefault="008B68E3" w:rsidP="00887DD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«Размер на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летищните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такси от </w:t>
      </w: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>1 юли 2013</w:t>
      </w:r>
      <w:r w:rsidRPr="008B68E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>г. до 30 юни 2014 г.</w:t>
      </w:r>
      <w:r>
        <w:rPr>
          <w:rFonts w:ascii="Times New Roman" w:eastAsia="Times" w:hAnsi="Times New Roman" w:cs="Times New Roman"/>
          <w:sz w:val="24"/>
          <w:szCs w:val="24"/>
          <w:lang w:val="bg-BG"/>
        </w:rPr>
        <w:t>“</w:t>
      </w:r>
    </w:p>
    <w:p w:rsidR="00887DDF" w:rsidRPr="00887DDF" w:rsidRDefault="00887DDF" w:rsidP="008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87DDF" w:rsidRPr="00887DDF" w:rsidRDefault="00887DDF" w:rsidP="008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„Летищни такси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летищния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оператор на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летището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годишен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трафик над 5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милиона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превозени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пътници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летището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най-голям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брой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пътнически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превози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територията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Република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>България</w:t>
      </w:r>
      <w:proofErr w:type="spellEnd"/>
      <w:r w:rsidRPr="00887DDF">
        <w:rPr>
          <w:rFonts w:ascii="Timok TT" w:eastAsia="Times" w:hAnsi="Timok TT" w:cs="Times New Roman"/>
          <w:color w:val="000000"/>
          <w:sz w:val="24"/>
          <w:szCs w:val="24"/>
          <w:lang w:val="ru-RU"/>
        </w:rPr>
        <w:t xml:space="preserve"> -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ЛЕТИЩЕ СОФИЯ </w:t>
      </w:r>
    </w:p>
    <w:p w:rsidR="00887DDF" w:rsidRPr="00887DDF" w:rsidRDefault="00887DDF" w:rsidP="00887DD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Такса  за кацане на въздухоплавателните средства: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1.1. Таксата за кацане се събира за всеки тон или част от него, закръглена към следващ тон, от максималното излетно тегло на въздухоплавателно средство (ВС).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1.2. Таксата е в еднакъв размер за полети по международни линии и за полети по вътрешни линии.</w:t>
      </w:r>
    </w:p>
    <w:p w:rsidR="00887DDF" w:rsidRPr="00887DDF" w:rsidRDefault="00887DDF" w:rsidP="00887DDF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1.3. Единичната таксова единица за тон от максималното излетно тегло на ВС е разделена в 4 групи (теглови диапазони) и е както следва:</w:t>
      </w:r>
    </w:p>
    <w:p w:rsidR="00887DDF" w:rsidRPr="00887DDF" w:rsidRDefault="00887DDF" w:rsidP="00887D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6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Група 1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до 25 т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–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0 евро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87DDF" w:rsidRPr="00887DDF" w:rsidRDefault="00887DDF" w:rsidP="00887D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6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Група 2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над 25 т до 6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–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00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евро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87DDF" w:rsidRPr="00887DDF" w:rsidRDefault="00887DDF" w:rsidP="00887D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60" w:line="240" w:lineRule="auto"/>
        <w:ind w:left="357" w:firstLine="36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Група 3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над 6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 до 100 т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–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евро </w:t>
      </w:r>
    </w:p>
    <w:p w:rsidR="00887DDF" w:rsidRPr="00887DDF" w:rsidRDefault="00887DDF" w:rsidP="00887D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Група 4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над 100 т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0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евро </w:t>
      </w:r>
    </w:p>
    <w:p w:rsidR="00887DDF" w:rsidRPr="00887DDF" w:rsidRDefault="00887DDF" w:rsidP="0088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1.4. В размера на таксата за кацане на ВС не се включват увеличения.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1.5. В размера на таксата по всеки теглови диапазон са включени разходи за издръжка на независимия надзорен орган в размер на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евро за тон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1.6. За таксата за кацане на ВС са приложими следните отстъпки за стимулиране развитието на трафика на Летище София:</w:t>
      </w:r>
    </w:p>
    <w:p w:rsidR="00887DDF" w:rsidRPr="00887DDF" w:rsidRDefault="00887DDF" w:rsidP="00887DDF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1.6.1.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 редовен целогодишен маршрут – извън Европа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 месеца от първия полет по маршрута 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2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3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4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5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20% намаление</w:t>
            </w:r>
          </w:p>
        </w:tc>
      </w:tr>
    </w:tbl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1.6.2.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 редовен целогодишен маршрут – в рамките на Европа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 месеца от първия полет по маршрута 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2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3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20% намаление</w:t>
            </w:r>
          </w:p>
        </w:tc>
      </w:tr>
    </w:tbl>
    <w:p w:rsidR="00887DDF" w:rsidRPr="00887DDF" w:rsidRDefault="00887DDF" w:rsidP="00887D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1.6.3.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целогодишно увеличен капацитет по действащ маршрут (само за допълнителните полети по маршрута):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 месеца от първия допълнителен полет по маршрута 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80% намаление</w:t>
            </w:r>
          </w:p>
        </w:tc>
      </w:tr>
    </w:tbl>
    <w:p w:rsidR="00887DDF" w:rsidRPr="00887DDF" w:rsidRDefault="00887DDF" w:rsidP="00887DDF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1.6.4.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възстановен целогодишен маршрут: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Сезон 1</w:t>
            </w:r>
          </w:p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рамките на съответния ИАТА сезон на полетното разписание, в който е възстановен маршрутът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30% намаление</w:t>
            </w:r>
          </w:p>
        </w:tc>
      </w:tr>
    </w:tbl>
    <w:p w:rsidR="00887DDF" w:rsidRPr="00887DDF" w:rsidRDefault="00887DDF" w:rsidP="00887DDF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1.6.5.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 сезонен маршрут (Разписание Зима или Разписание Лято):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Сезон 1</w:t>
            </w:r>
          </w:p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рамките на съответния ИАТА сезон на полетното разписание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50% намаление</w:t>
            </w:r>
          </w:p>
        </w:tc>
      </w:tr>
    </w:tbl>
    <w:p w:rsidR="00887DDF" w:rsidRPr="00887DDF" w:rsidRDefault="00887DDF" w:rsidP="00887D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1.6.6.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 международен товарен маршрут или за допълнителни полети по действащ такъв: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887DDF" w:rsidRPr="00887DDF" w:rsidRDefault="00887DDF" w:rsidP="008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 месеца от първия полет (нов или допълнителен) 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Година 2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10% намаление</w:t>
            </w:r>
          </w:p>
        </w:tc>
      </w:tr>
    </w:tbl>
    <w:p w:rsidR="00887DDF" w:rsidRPr="00887DDF" w:rsidRDefault="00887DDF" w:rsidP="00887D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1.6.7.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полети по редовни вътрешни линии: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 периода на валидност на таксата кацане, определена с решението по чл.122к, ал. 1 от ЗГВ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80% намаление</w:t>
            </w:r>
          </w:p>
        </w:tc>
      </w:tr>
    </w:tbl>
    <w:p w:rsidR="00887DDF" w:rsidRPr="00887DDF" w:rsidRDefault="00887DDF" w:rsidP="00887D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1.6.8.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въздушни превозвачи, изпълняващи целогодишна полетна програма по международни линии до и от Летище София, при достигане на следните обеми: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При изпълнени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над 5000 самолетодвижения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по международни линии за период от 12 последователни месеца, считано от датата на влизане в сила на решението по чл. 122к, ал. 1 от ЗГВ, от един и същи превозвач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При изпълнени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над 7000 самолетодвижения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по международни линии за период от 12 последователни месеца, считано от датата на влизане в сила на решението по чл. 122к, ал. 1 от ЗГВ, от един и същи превозвач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5% намаление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При изпълнени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над 10000 самолетодвижения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по международни линии за период от 12 последователни месеца, считано от датата на влизане в сила на решението по чл. 122к, ал. 1 от ЗГВ, от един и същи превозвач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10% намаление</w:t>
            </w:r>
          </w:p>
        </w:tc>
      </w:tr>
    </w:tbl>
    <w:p w:rsidR="00887DDF" w:rsidRPr="00887DDF" w:rsidRDefault="00887DDF" w:rsidP="00887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Процентното намаление се прилага върху начислената обща сума такса кацане за всички изпълнени самолетодвижения от един и същи превозвач за периода 01.07.2013 – 30.06.2014 г. при достигане на заложения критерий.</w:t>
      </w:r>
    </w:p>
    <w:p w:rsidR="00887DDF" w:rsidRPr="00887DDF" w:rsidRDefault="00887DDF" w:rsidP="00887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Отстъпката за обем по тази точка се прилага отделно от отстъпките за стимулиране на трафика по т.1.6.1.-1.6.6.</w:t>
      </w:r>
    </w:p>
    <w:p w:rsidR="00887DDF" w:rsidRPr="00887DDF" w:rsidRDefault="00887DDF" w:rsidP="00887DDF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1.7. Отстъпките върху таксата за кацане на ВС по т.1.6.1. – 1.6.6. се предоставят и се прилагат по </w:t>
      </w:r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отношение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всички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превозвачи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чиито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полетни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след 01.01.2013 г.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отговарят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заложените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общи условия и критерии,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определени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летищния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оператор,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като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отстъпките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 се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начисляват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датата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влизане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gram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</w:t>
      </w:r>
      <w:proofErr w:type="gram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сила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решението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по чл. 122к, ал.1.</w:t>
      </w:r>
    </w:p>
    <w:p w:rsidR="00887DDF" w:rsidRPr="00887DDF" w:rsidRDefault="00887DDF" w:rsidP="00887DD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Такса за паркиране  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2.1. Таксата за паркиране се събира за всеки тон или част от него, закръглена към следващ тон, от максималното излетно тегло на ВС, за всеки започнат час над безплатния престой. 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2.2. Единичната таксова единица за тон на час е диференцирана в 6 групи в зависимост от периода на денонощието и типа на ползваното съоръжение (местостоянка):</w:t>
      </w:r>
    </w:p>
    <w:p w:rsidR="00887DDF" w:rsidRPr="00887DDF" w:rsidRDefault="00887DDF" w:rsidP="00887D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7DDF" w:rsidRPr="00887DDF" w:rsidTr="00357C9D">
        <w:trPr>
          <w:trHeight w:val="935"/>
        </w:trPr>
        <w:tc>
          <w:tcPr>
            <w:tcW w:w="4608" w:type="dxa"/>
            <w:shd w:val="clear" w:color="auto" w:fill="CCFFFF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Оперативна местостоянка - „ден”:</w:t>
            </w:r>
          </w:p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0,1</w:t>
            </w: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6</w:t>
            </w: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 евро </w:t>
            </w:r>
          </w:p>
        </w:tc>
        <w:tc>
          <w:tcPr>
            <w:tcW w:w="4680" w:type="dxa"/>
            <w:shd w:val="clear" w:color="auto" w:fill="CCFFFF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Оперативна местостоянка - „нощ”</w:t>
            </w:r>
          </w:p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0,06 евро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887DDF" w:rsidRPr="00887DDF" w:rsidTr="00357C9D">
        <w:trPr>
          <w:trHeight w:val="1114"/>
        </w:trPr>
        <w:tc>
          <w:tcPr>
            <w:tcW w:w="4608" w:type="dxa"/>
            <w:shd w:val="clear" w:color="auto" w:fill="CCFFFF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Местостоянка за дълговременен престой „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Long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-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term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Stand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„ден”</w:t>
            </w:r>
          </w:p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0,13 евро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680" w:type="dxa"/>
            <w:shd w:val="clear" w:color="auto" w:fill="CCFFFF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Местостоянка за дълговременен престой „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Long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-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term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Stand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„нощ”</w:t>
            </w:r>
          </w:p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0,04 евро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887DDF" w:rsidRPr="00887DDF" w:rsidTr="00357C9D">
        <w:trPr>
          <w:trHeight w:val="1074"/>
        </w:trPr>
        <w:tc>
          <w:tcPr>
            <w:tcW w:w="4608" w:type="dxa"/>
            <w:shd w:val="clear" w:color="auto" w:fill="CCFFFF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Зона за дълговременен престой „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Long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-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term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Bay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„ден”</w:t>
            </w:r>
          </w:p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0,015 евро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680" w:type="dxa"/>
            <w:shd w:val="clear" w:color="auto" w:fill="CCFFFF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Зона за дълговременен престой „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Long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-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term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Bay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„нощ”</w:t>
            </w:r>
          </w:p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0,01 евро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</w:tbl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.3. Такса паркиране не се заплаща за престой на ВС до:</w:t>
      </w:r>
    </w:p>
    <w:p w:rsidR="00887DDF" w:rsidRPr="00887DDF" w:rsidRDefault="00887DDF" w:rsidP="00887DDF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 часа след кацане – за ВС, изпълняващи пътнически полети;</w:t>
      </w:r>
    </w:p>
    <w:p w:rsidR="00887DDF" w:rsidRPr="00887DDF" w:rsidRDefault="00887DDF" w:rsidP="00887DDF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  6 часа след кацане –  за ВС, изпълняващи товарни полети.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 Летищният оператор публикува списък с номера на местостоянки за оперативен престой на ВС и на местостоянки за дълговременен престой на ВС (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Long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term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Stands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 както и обозначение на зоната за дълговременен престой (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Long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term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Bay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87DDF" w:rsidRPr="00887DDF" w:rsidRDefault="00887DDF" w:rsidP="00887DDF">
      <w:pPr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87DDF" w:rsidRDefault="00887DDF" w:rsidP="00887DDF">
      <w:pPr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2.5.</w:t>
      </w:r>
      <w:r w:rsidRPr="00887DD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размера на таксата за паркиране на ВС са включени разходи за издръжка на независимия надзорен орган по чл.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16д в годишен размер.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2.6. За таксата за паркиране на ВС са приложими следните отстъпки за стимулиране развитието на трафика на Летище София:</w:t>
      </w:r>
    </w:p>
    <w:p w:rsidR="00887DDF" w:rsidRPr="00887DDF" w:rsidRDefault="00887DDF" w:rsidP="00887D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2.6.1.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въздушни превозвачи, чиито ВС са регистрирани като местодомуващи на Летище София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целогодишно или в рамките на един ИАТА сезон и са ангажирани в изпълнение на регулярна полетна програма от и до Летище София: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887DDF" w:rsidRPr="00887DDF" w:rsidTr="00357C9D">
        <w:tc>
          <w:tcPr>
            <w:tcW w:w="468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При регистрирани повече от 3 ВС на един и същи превозвач</w:t>
            </w:r>
          </w:p>
        </w:tc>
        <w:tc>
          <w:tcPr>
            <w:tcW w:w="450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50% намаление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върху таксата за оперативна местостоянка – ден и нощ</w:t>
            </w:r>
          </w:p>
        </w:tc>
      </w:tr>
      <w:tr w:rsidR="00887DDF" w:rsidRPr="00887DDF" w:rsidTr="00357C9D">
        <w:tc>
          <w:tcPr>
            <w:tcW w:w="468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При регистрирани повече от 6 ВС на един и същи превозвач </w:t>
            </w:r>
          </w:p>
        </w:tc>
        <w:tc>
          <w:tcPr>
            <w:tcW w:w="450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70% намаление върху таксата за оперативна местостоянка – ден и нощ</w:t>
            </w:r>
          </w:p>
        </w:tc>
      </w:tr>
    </w:tbl>
    <w:p w:rsidR="00887DDF" w:rsidRPr="00887DDF" w:rsidRDefault="00887DDF" w:rsidP="00887DDF">
      <w:pPr>
        <w:spacing w:before="12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*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ИАТА сезон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разписание на полетите на даден въздушен превозвач за с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езон зима – от последната неделя на месец октомври до последната събота на месец март, на следващата година, и за сезон лято – </w:t>
      </w:r>
      <w:proofErr w:type="gramStart"/>
      <w:r w:rsidRPr="00887DDF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proofErr w:type="gramEnd"/>
      <w:r w:rsidRPr="00887D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последната неделя на месец март до последната събота на месец октомври</w:t>
      </w:r>
    </w:p>
    <w:p w:rsidR="00887DDF" w:rsidRPr="00887DDF" w:rsidRDefault="00887DDF" w:rsidP="00887DDF">
      <w:pPr>
        <w:spacing w:before="120" w:after="24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2.6.2.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товарно ВС, изпълняващо полети по нов международен товарен маршрут или допълнителни полети по действащ такъв: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887DDF" w:rsidRPr="00887DDF" w:rsidTr="00357C9D">
        <w:tc>
          <w:tcPr>
            <w:tcW w:w="468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ВС с максимално излетно тегло над 150 тона</w:t>
            </w:r>
          </w:p>
        </w:tc>
        <w:tc>
          <w:tcPr>
            <w:tcW w:w="450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Удължен безплатен престой до 9 часа от момента на кацане на Летище София</w:t>
            </w:r>
          </w:p>
        </w:tc>
      </w:tr>
    </w:tbl>
    <w:p w:rsidR="00887DDF" w:rsidRPr="00887DDF" w:rsidRDefault="00887DDF" w:rsidP="00887DDF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2.7. Отстъпките върху таксата за паркиране на ВС по т.2.6.1. – 2.6.2. се предоставят и се прилагат по </w:t>
      </w:r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отношение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всички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превозвачи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чиито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полетни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след 01.01.2013 г.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отговарят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заложените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общи условия и критерии,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определени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летищния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оператор,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като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отстъпките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 се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начисляват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датата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влизане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gram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</w:t>
      </w:r>
      <w:proofErr w:type="gram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сила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решението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по чл.122к, ал.1.</w:t>
      </w:r>
    </w:p>
    <w:p w:rsidR="00887DDF" w:rsidRPr="00887DDF" w:rsidRDefault="00887DDF" w:rsidP="00887DD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Такса за пътници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3.1. Таксата „Пътници” се събира за всеки заминаващ пътник (започващ пътуването си от Летище София или извършващ трансфер от един полет на друг).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3.2. Единичната таксова единица за пътници е определена в зависимост от терминала, на който се обслужва заминаващия полет, и в зависимост от дестинацията на полета -  по международни или по вътрешни линии:</w:t>
      </w:r>
    </w:p>
    <w:p w:rsidR="00887DDF" w:rsidRPr="00887DDF" w:rsidRDefault="00887DDF" w:rsidP="00887D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559" w:type="dxa"/>
        <w:jc w:val="center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2789"/>
        <w:gridCol w:w="2259"/>
      </w:tblGrid>
      <w:tr w:rsidR="00887DDF" w:rsidRPr="00887DDF" w:rsidTr="00357C9D">
        <w:trPr>
          <w:trHeight w:val="45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Международни линии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1 - възрастни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 </w:t>
            </w: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6,00</w:t>
            </w: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евро </w:t>
            </w:r>
          </w:p>
        </w:tc>
      </w:tr>
      <w:tr w:rsidR="00887DDF" w:rsidRPr="00887DDF" w:rsidTr="00357C9D">
        <w:trPr>
          <w:trHeight w:val="450"/>
          <w:jc w:val="center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7DDF" w:rsidRPr="00887DDF" w:rsidRDefault="00887DDF" w:rsidP="0088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2 - възрастни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11,00 евро</w:t>
            </w:r>
          </w:p>
        </w:tc>
      </w:tr>
      <w:tr w:rsidR="00887DDF" w:rsidRPr="00887DDF" w:rsidTr="00357C9D">
        <w:trPr>
          <w:trHeight w:val="450"/>
          <w:jc w:val="center"/>
        </w:trPr>
        <w:tc>
          <w:tcPr>
            <w:tcW w:w="3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Вътрешни линии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1 - възрастни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 </w:t>
            </w: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,40 евро</w:t>
            </w:r>
          </w:p>
        </w:tc>
      </w:tr>
      <w:tr w:rsidR="00887DDF" w:rsidRPr="00887DDF" w:rsidTr="00357C9D">
        <w:trPr>
          <w:trHeight w:val="450"/>
          <w:jc w:val="center"/>
        </w:trPr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87DDF" w:rsidRPr="00887DDF" w:rsidRDefault="00887DDF" w:rsidP="0088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2 - възрастни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 </w:t>
            </w: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  <w:r w:rsidRPr="0088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,40 евро</w:t>
            </w:r>
          </w:p>
        </w:tc>
      </w:tr>
    </w:tbl>
    <w:p w:rsidR="00887DDF" w:rsidRPr="00887DDF" w:rsidRDefault="00887DDF" w:rsidP="00887DD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3.3. Деца от 2 до 12 години заплащат 50% от пълния размер на съответната такса. Деца до 2-годишна възраст и транзитни пътници са освободени от заплащане на таксата.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3.4. В размера на таксата за пътници са включени разходи за издръжка на независимия надзорен орган в размер на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0,05 евро за всеки заминаващ пътник над</w:t>
      </w:r>
      <w:r w:rsidRPr="00887DD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12-годишна възраст (възрастен) 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в размер на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0,025 евро за всеки заминаващ пътник между 2 и 12-годишна възраст (дете)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87DDF" w:rsidRPr="00887DDF" w:rsidRDefault="00887DDF" w:rsidP="00887DDF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3.5. За таксата за пътници са приложими следните отстъпки за стимулиране развитието на трафика на Летище София, които се прилагат по </w:t>
      </w:r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отношение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всички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превозвачи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чиито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полетни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след 01.01.2013 г.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отговарят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заложените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общи условия и критерии,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определени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летищния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оператор,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като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отстъпките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 се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начисляват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датата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влизане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gram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</w:t>
      </w:r>
      <w:proofErr w:type="gram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сила на </w:t>
      </w:r>
      <w:proofErr w:type="spellStart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решението</w:t>
      </w:r>
      <w:proofErr w:type="spellEnd"/>
      <w:r w:rsidRPr="00887DDF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по чл. 122к, ал. 1.</w:t>
      </w:r>
    </w:p>
    <w:p w:rsidR="00887DDF" w:rsidRPr="00887DDF" w:rsidRDefault="00887DDF" w:rsidP="00887DDF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3.5.1. За превозвачи, допринасящи за развитие на трансферен пътнически трафик през Летище София: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пътници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пристигащи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международен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полет и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заминаващи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международен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полет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45% намаление върху съответната такса за заминаващ пътник 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пътници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пристигащи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международен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полет и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заминаващи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вътрешен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полет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45% намаление върху съответната такса за заминаващ пътник</w:t>
            </w:r>
          </w:p>
        </w:tc>
      </w:tr>
      <w:tr w:rsidR="00887DDF" w:rsidRPr="00887DDF" w:rsidTr="00357C9D">
        <w:tc>
          <w:tcPr>
            <w:tcW w:w="50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пътници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пристигащи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вътрешен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полет и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заминаващи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международен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полет </w:t>
            </w:r>
          </w:p>
        </w:tc>
        <w:tc>
          <w:tcPr>
            <w:tcW w:w="41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45% намаление върху съответната такса за заминаващ пътник</w:t>
            </w:r>
          </w:p>
        </w:tc>
      </w:tr>
    </w:tbl>
    <w:p w:rsidR="00887DDF" w:rsidRPr="00887DDF" w:rsidRDefault="00887DDF" w:rsidP="00887DDF">
      <w:pPr>
        <w:numPr>
          <w:ilvl w:val="0"/>
          <w:numId w:val="21"/>
        </w:numPr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Т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акса за ползване на пътнически ръкав</w:t>
      </w:r>
    </w:p>
    <w:p w:rsidR="00887DDF" w:rsidRPr="00887DDF" w:rsidRDefault="00887DDF" w:rsidP="00887DDF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4.1. Единичната таксова единица е диференцирана за първоначален период на ползване до 60 минути и за всеки започнати допълнителни 15 минути: </w:t>
      </w:r>
    </w:p>
    <w:tbl>
      <w:tblPr>
        <w:tblW w:w="8641" w:type="dxa"/>
        <w:jc w:val="center"/>
        <w:tblInd w:w="-2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3606"/>
      </w:tblGrid>
      <w:tr w:rsidR="00887DDF" w:rsidRPr="00887DDF" w:rsidTr="00357C9D">
        <w:trPr>
          <w:trHeight w:val="555"/>
          <w:jc w:val="center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 първоначален период до 60</w:t>
            </w:r>
            <w:r w:rsidR="00FD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минути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95 евро</w:t>
            </w:r>
          </w:p>
        </w:tc>
      </w:tr>
      <w:tr w:rsidR="00887DDF" w:rsidRPr="00887DDF" w:rsidTr="00357C9D">
        <w:trPr>
          <w:trHeight w:val="555"/>
          <w:jc w:val="center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всеки последващи 15 минути 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br/>
              <w:t>или част от тях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887DDF" w:rsidRPr="00887DDF" w:rsidRDefault="00887DDF" w:rsidP="008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3</w:t>
            </w: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4</w:t>
            </w: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 евро</w:t>
            </w:r>
          </w:p>
        </w:tc>
      </w:tr>
    </w:tbl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4.2. При ползване на пътнически ръкав с прекъсване, времето на ползване след кацане се сумира с времето на ползване преди излитане на едно и също ВС и таксата се начислява за така полученото общо време на ползване. За времето, през което съоръжението не се използва, не се заплаща такса.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4.3. В размера на единичната такса за ползване на пътнически ръкав за първоначален период на ползване до 60 минути са включени разходи за издръжка на независимия надзорен орган в размер на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0,85 евро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единична услуга.</w:t>
      </w:r>
    </w:p>
    <w:p w:rsidR="00887DDF" w:rsidRPr="00887DDF" w:rsidRDefault="00887DDF" w:rsidP="00887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87DDF" w:rsidRDefault="00887DDF" w:rsidP="00887DD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Т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акса за сигурност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 Единичната таксова единица за ВС, превозващи пътници, се събира за всеки заминаващ пътник (започващ пътуването си от Летище София или извършващ трансфер от един полет на друг):</w:t>
      </w:r>
    </w:p>
    <w:tbl>
      <w:tblPr>
        <w:tblW w:w="0" w:type="auto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4135"/>
        <w:gridCol w:w="4361"/>
      </w:tblGrid>
      <w:tr w:rsidR="00887DDF" w:rsidRPr="00887DDF" w:rsidTr="00357C9D">
        <w:trPr>
          <w:trHeight w:val="597"/>
          <w:jc w:val="center"/>
        </w:trPr>
        <w:tc>
          <w:tcPr>
            <w:tcW w:w="4135" w:type="dxa"/>
            <w:shd w:val="clear" w:color="auto" w:fill="CCFFFF"/>
          </w:tcPr>
          <w:p w:rsidR="00887DDF" w:rsidRPr="00887DDF" w:rsidRDefault="00887DDF" w:rsidP="00887D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заминаващ пътник </w:t>
            </w:r>
          </w:p>
        </w:tc>
        <w:tc>
          <w:tcPr>
            <w:tcW w:w="4361" w:type="dxa"/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6,</w:t>
            </w: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00</w:t>
            </w:r>
            <w:r w:rsidRPr="00887DD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евро </w:t>
            </w:r>
          </w:p>
        </w:tc>
      </w:tr>
    </w:tbl>
    <w:p w:rsidR="00887DDF" w:rsidRPr="00887DDF" w:rsidRDefault="00887DDF" w:rsidP="00887DDF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FD16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периода на първоначално въвеждане на таксата „Сигурност” за пътниците, заминаващи от Терминал 2, се определят 3 етапа с различен размер на единичната таксова единица: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2160"/>
      </w:tblGrid>
      <w:tr w:rsidR="00887DDF" w:rsidRPr="00887DDF" w:rsidTr="00357C9D">
        <w:tc>
          <w:tcPr>
            <w:tcW w:w="342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01.07.2013 г. – 30.09.2013 г.</w:t>
            </w:r>
          </w:p>
        </w:tc>
        <w:tc>
          <w:tcPr>
            <w:tcW w:w="32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 заминаващ пътник от Терминал 2</w:t>
            </w:r>
          </w:p>
        </w:tc>
        <w:tc>
          <w:tcPr>
            <w:tcW w:w="216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1,00 евро</w:t>
            </w:r>
          </w:p>
        </w:tc>
      </w:tr>
      <w:tr w:rsidR="00887DDF" w:rsidRPr="00887DDF" w:rsidTr="00357C9D">
        <w:tc>
          <w:tcPr>
            <w:tcW w:w="342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01.10.2013 г. – 31.03.2014 г.</w:t>
            </w:r>
          </w:p>
        </w:tc>
        <w:tc>
          <w:tcPr>
            <w:tcW w:w="32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 заминаващ пътник от Терминал 2</w:t>
            </w:r>
          </w:p>
        </w:tc>
        <w:tc>
          <w:tcPr>
            <w:tcW w:w="216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8,00 евро</w:t>
            </w:r>
          </w:p>
        </w:tc>
      </w:tr>
      <w:tr w:rsidR="00887DDF" w:rsidRPr="00887DDF" w:rsidTr="00357C9D">
        <w:tc>
          <w:tcPr>
            <w:tcW w:w="342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1.04.2014 г.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-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31.0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.2014 г.</w:t>
            </w:r>
          </w:p>
        </w:tc>
        <w:tc>
          <w:tcPr>
            <w:tcW w:w="324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 заминаващ пътник от Терминал 2</w:t>
            </w:r>
          </w:p>
        </w:tc>
        <w:tc>
          <w:tcPr>
            <w:tcW w:w="2160" w:type="dxa"/>
            <w:shd w:val="clear" w:color="auto" w:fill="auto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10,20 евро</w:t>
            </w:r>
          </w:p>
        </w:tc>
      </w:tr>
    </w:tbl>
    <w:p w:rsidR="00887DDF" w:rsidRPr="00887DDF" w:rsidRDefault="00887DDF" w:rsidP="00887DDF">
      <w:pPr>
        <w:tabs>
          <w:tab w:val="left" w:pos="3888"/>
          <w:tab w:val="left" w:pos="7128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изтичане на срока по третия етап таксата се прилага в размера, определен в т. 5.1., до влизане в сила на нов размер на таксата „Сигурност” за пътнически полети.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6F0C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 размера на таксата „Сигурност” за ВС, превозващи пътници, са включени разходи за издръжка на независимия надзорен орган в размер на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0,05 евро за всеки заминаващ пътник.</w:t>
      </w:r>
    </w:p>
    <w:p w:rsidR="00887DDF" w:rsidRPr="00887DDF" w:rsidRDefault="006F0CDB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5.4</w:t>
      </w:r>
      <w:r w:rsidR="00887DDF"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Единичната таксова единица за ВС, които не превозват пътници, се събира за всяко въздухоплавателно средство, изпълняващо товарен, технически или друг полет, с който на Летище София не кацат и не излитат пътници:</w:t>
      </w:r>
    </w:p>
    <w:p w:rsidR="00887DDF" w:rsidRPr="00887DDF" w:rsidRDefault="00887DDF" w:rsidP="00887D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4279"/>
        <w:gridCol w:w="4361"/>
      </w:tblGrid>
      <w:tr w:rsidR="00887DDF" w:rsidRPr="00887DDF" w:rsidTr="00357C9D">
        <w:trPr>
          <w:jc w:val="center"/>
        </w:trPr>
        <w:tc>
          <w:tcPr>
            <w:tcW w:w="4279" w:type="dxa"/>
            <w:shd w:val="clear" w:color="auto" w:fill="CCFFFF"/>
          </w:tcPr>
          <w:p w:rsidR="00887DDF" w:rsidRPr="00887DDF" w:rsidRDefault="00887DDF" w:rsidP="00887DD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Еднократно за полет</w:t>
            </w:r>
          </w:p>
        </w:tc>
        <w:tc>
          <w:tcPr>
            <w:tcW w:w="4361" w:type="dxa"/>
            <w:shd w:val="clear" w:color="auto" w:fill="CCFFFF"/>
          </w:tcPr>
          <w:p w:rsidR="00887DDF" w:rsidRPr="00887DDF" w:rsidRDefault="00887DDF" w:rsidP="00887DD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24</w:t>
            </w:r>
            <w:r w:rsidRPr="00887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,00 евро </w:t>
            </w:r>
          </w:p>
        </w:tc>
      </w:tr>
    </w:tbl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6F0C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Такса „Сигурност” за ВС, които не превозват пътници, се събира в еднакъв размер, независимо от типа на ВС и дестинацията на полета (по международни или по вътрешни линии).</w:t>
      </w:r>
    </w:p>
    <w:p w:rsidR="00887DDF" w:rsidRPr="00887DDF" w:rsidRDefault="00887DDF" w:rsidP="00887D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</w:p>
    <w:p w:rsidR="00887DDF" w:rsidRPr="00887DDF" w:rsidRDefault="00887DDF" w:rsidP="00887DDF">
      <w:pPr>
        <w:numPr>
          <w:ilvl w:val="0"/>
          <w:numId w:val="2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Такса</w:t>
      </w:r>
      <w:r w:rsidRPr="00887DDF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</w:t>
      </w:r>
      <w:r w:rsidRPr="00887DDF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 </w:t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шум (екологична)</w:t>
      </w:r>
    </w:p>
    <w:p w:rsidR="00887DDF" w:rsidRPr="00887DDF" w:rsidRDefault="00887DDF" w:rsidP="00887DD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6.1. Таксата „Шум (екологична)” се събира за всеки тон или част от него, закръглена към следващ тон, от максималното излетно тегло на ВС. </w:t>
      </w:r>
    </w:p>
    <w:p w:rsidR="00887DDF" w:rsidRPr="00887DDF" w:rsidRDefault="00887DDF" w:rsidP="00887DD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6.2. Таксата „Шум (екологична)” се заплаща еднократно за полет като се вземат предвид часът на кацане и часът на последващото излитане на едно и също ВС.</w:t>
      </w:r>
    </w:p>
    <w:p w:rsidR="00887DDF" w:rsidRPr="00887DDF" w:rsidRDefault="00887DDF" w:rsidP="00887DD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6.3. Единичната таксова единица е определена в диференциран размер в зависимост от индивидуалните шумови характеристики на ВС, в 5 групи по шумови сертификати и в 3 часови зони – дневна, сутрин/вечер и нощна:</w:t>
      </w:r>
    </w:p>
    <w:p w:rsidR="00887DDF" w:rsidRPr="00887DDF" w:rsidRDefault="00887DDF" w:rsidP="00887DDF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Евро за тон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800"/>
        <w:gridCol w:w="1800"/>
        <w:gridCol w:w="1800"/>
      </w:tblGrid>
      <w:tr w:rsidR="00887DDF" w:rsidRPr="00887DDF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87DDF" w:rsidRPr="00887DDF" w:rsidRDefault="00887DDF" w:rsidP="00887DDF">
            <w:pPr>
              <w:spacing w:before="120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Час на кацане</w:t>
            </w: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br/>
              <w:t>(местно време)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Шумова</w:t>
            </w:r>
          </w:p>
          <w:p w:rsidR="00887DDF" w:rsidRPr="00887DDF" w:rsidRDefault="00887DDF" w:rsidP="00887DDF">
            <w:pPr>
              <w:spacing w:before="120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категория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Час на излитане (местно време)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07:00-22:59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06:00-06:59</w:t>
            </w:r>
          </w:p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23:00-23:59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00:00-05:59</w:t>
            </w:r>
          </w:p>
        </w:tc>
      </w:tr>
      <w:tr w:rsidR="00887DDF" w:rsidRPr="00887DDF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07:00-22:59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0.1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36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0.2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45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59</w:t>
            </w:r>
          </w:p>
        </w:tc>
      </w:tr>
      <w:tr w:rsidR="00887DDF" w:rsidRPr="00887DDF" w:rsidTr="00357C9D">
        <w:trPr>
          <w:trHeight w:val="284"/>
        </w:trPr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4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90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5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1.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35</w:t>
            </w:r>
          </w:p>
        </w:tc>
      </w:tr>
      <w:tr w:rsidR="00887DDF" w:rsidRPr="00887DDF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06:00-06:59</w:t>
            </w:r>
          </w:p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23:00-23:59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0.2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41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2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0.2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51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3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0.3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66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4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1.01</w:t>
            </w:r>
          </w:p>
        </w:tc>
      </w:tr>
      <w:tr w:rsidR="00887DDF" w:rsidRPr="00887DDF" w:rsidTr="00357C9D">
        <w:trPr>
          <w:trHeight w:val="22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1.02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1.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52</w:t>
            </w:r>
          </w:p>
        </w:tc>
      </w:tr>
      <w:tr w:rsidR="00887DDF" w:rsidRPr="00887DDF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00:00-05:59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55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2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68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3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88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4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0.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1.02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1.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36</w:t>
            </w:r>
          </w:p>
        </w:tc>
      </w:tr>
      <w:tr w:rsidR="00887DDF" w:rsidRPr="00887DDF" w:rsidTr="00357C9D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CCFFFF"/>
          </w:tcPr>
          <w:p w:rsidR="00887DDF" w:rsidRPr="00887DDF" w:rsidRDefault="00887DDF" w:rsidP="00887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Категория 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1.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val="bg-BG" w:eastAsia="bg-BG"/>
              </w:rPr>
              <w:t>1.</w:t>
            </w: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887DDF" w:rsidRPr="00887DDF" w:rsidRDefault="00887DDF" w:rsidP="00887D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887DD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2.03</w:t>
            </w:r>
          </w:p>
        </w:tc>
      </w:tr>
    </w:tbl>
    <w:p w:rsidR="00887DDF" w:rsidRPr="00887DDF" w:rsidRDefault="00887DDF" w:rsidP="00887DDF">
      <w:pPr>
        <w:spacing w:before="120" w:beforeAutospacing="1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6.4. Самолети с максимално излетно тегло до 9 тона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сички хеликоптери не заплащат такса „Шум (екологична)”.</w:t>
      </w:r>
    </w:p>
    <w:p w:rsidR="00887DDF" w:rsidRPr="00887DDF" w:rsidRDefault="00887DDF" w:rsidP="00887DDF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6.5. Основание за отнасяне на дадено ВС към конкретна категория е индивидуалният му шумов сертификат в зависимост от кумулативната шумова граница*, както следва: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956"/>
      </w:tblGrid>
      <w:tr w:rsidR="00887DDF" w:rsidRPr="00887DDF" w:rsidTr="00357C9D">
        <w:tc>
          <w:tcPr>
            <w:tcW w:w="1042" w:type="dxa"/>
          </w:tcPr>
          <w:p w:rsidR="00887DDF" w:rsidRPr="00887DDF" w:rsidRDefault="00887DDF" w:rsidP="00887DDF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Шумова категория</w:t>
            </w:r>
          </w:p>
        </w:tc>
        <w:tc>
          <w:tcPr>
            <w:tcW w:w="7956" w:type="dxa"/>
          </w:tcPr>
          <w:p w:rsidR="00887DDF" w:rsidRPr="00887DDF" w:rsidRDefault="00887DDF" w:rsidP="00887DDF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категорията – параметри на ВС</w:t>
            </w:r>
          </w:p>
        </w:tc>
      </w:tr>
      <w:tr w:rsidR="00887DDF" w:rsidRPr="00887DDF" w:rsidTr="00357C9D">
        <w:tc>
          <w:tcPr>
            <w:tcW w:w="1042" w:type="dxa"/>
          </w:tcPr>
          <w:p w:rsidR="00887DDF" w:rsidRPr="00887DDF" w:rsidRDefault="00887DDF" w:rsidP="00887DDF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956" w:type="dxa"/>
          </w:tcPr>
          <w:p w:rsidR="00887DDF" w:rsidRPr="00887DDF" w:rsidRDefault="00887DDF" w:rsidP="00887D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том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част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глави 3 и 5 от Конвенцията за международно гражданско въздухоплаване, с кумулативна шумова граница 20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dB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фективно ниво на измервания шум (</w:t>
            </w:r>
            <w:smartTag w:uri="urn:schemas-microsoft-com:office:smarttags" w:element="stockticker">
              <w:r w:rsidRPr="00887DD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EPN</w:t>
              </w:r>
            </w:smartTag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 или повече.</w:t>
            </w:r>
          </w:p>
        </w:tc>
      </w:tr>
      <w:tr w:rsidR="00887DDF" w:rsidRPr="00887DDF" w:rsidTr="00357C9D">
        <w:tc>
          <w:tcPr>
            <w:tcW w:w="1042" w:type="dxa"/>
          </w:tcPr>
          <w:p w:rsidR="00887DDF" w:rsidRPr="00887DDF" w:rsidRDefault="00887DDF" w:rsidP="00887DDF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956" w:type="dxa"/>
          </w:tcPr>
          <w:p w:rsidR="00887DDF" w:rsidRPr="00887DDF" w:rsidRDefault="00887DDF" w:rsidP="00887D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том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част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глави 3 и 5 от Конвенцията за международно гражданско въздухоплаване, с кумулативна шумова граница от 15 до 19,9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887DDF" w:rsidRPr="00887DDF" w:rsidTr="00357C9D">
        <w:tc>
          <w:tcPr>
            <w:tcW w:w="1042" w:type="dxa"/>
          </w:tcPr>
          <w:p w:rsidR="00887DDF" w:rsidRPr="00887DDF" w:rsidRDefault="00887DDF" w:rsidP="00887DDF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956" w:type="dxa"/>
          </w:tcPr>
          <w:p w:rsidR="00887DDF" w:rsidRPr="00887DDF" w:rsidRDefault="00887DDF" w:rsidP="00887D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том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част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глави 3 и 5 от Конвенцията за международно гражданско въздухоплаване, с кумулативна шумова граница от 10 до 14,9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887DDF" w:rsidRPr="00887DDF" w:rsidTr="00357C9D">
        <w:tc>
          <w:tcPr>
            <w:tcW w:w="1042" w:type="dxa"/>
          </w:tcPr>
          <w:p w:rsidR="00887DDF" w:rsidRPr="00887DDF" w:rsidRDefault="00887DDF" w:rsidP="00887DDF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956" w:type="dxa"/>
          </w:tcPr>
          <w:p w:rsidR="00887DDF" w:rsidRPr="00887DDF" w:rsidRDefault="00887DDF" w:rsidP="00887D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том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част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глави 3 и 5 от Конвенцията за международно гражданско въздухоплаване, с кумулативна шумова граница от 5 до 9,9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887DDF" w:rsidRPr="00887DDF" w:rsidTr="00357C9D">
        <w:tc>
          <w:tcPr>
            <w:tcW w:w="1042" w:type="dxa"/>
          </w:tcPr>
          <w:p w:rsidR="00887DDF" w:rsidRPr="00887DDF" w:rsidRDefault="00887DDF" w:rsidP="00887DDF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956" w:type="dxa"/>
          </w:tcPr>
          <w:p w:rsidR="00887DDF" w:rsidRPr="00887DDF" w:rsidRDefault="00887DDF" w:rsidP="00887D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том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част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глави 3 и 5 от Конвенцията за международно гражданско въздухоплаване, с кумулативна шумова граница 4,9 </w:t>
            </w:r>
            <w:proofErr w:type="spellStart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или по-малко, самолети с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глава 2, които не отговарят на изискванията на Анекс 16, том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част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глави 3 и 5 от Конвенцията за международно гражданско въздухоплаване и самолети с 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87D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за които не е представен сертификат за шум.</w:t>
            </w:r>
          </w:p>
        </w:tc>
      </w:tr>
    </w:tbl>
    <w:p w:rsidR="00887DDF" w:rsidRPr="00887DDF" w:rsidRDefault="00887DDF" w:rsidP="00887DDF">
      <w:pPr>
        <w:spacing w:before="12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7D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*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Кумулативна шумова граница – стойността получена от сбора на разликите между максимално разрешените нива на шума за дадено ВС и нивата на шума, показани в шумовия му сертификат при направените измервания в трите контролни точки (встрани от ПИК, при заход за кацане и при излитане). Максимално разрешените нива на шума за дадено ВС и контролните точки за измерване на шума са дефинирани в Анекс 16, том 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част </w:t>
      </w:r>
      <w:r w:rsidRPr="00887DDF">
        <w:rPr>
          <w:rFonts w:ascii="Times New Roman" w:eastAsia="Times New Roman" w:hAnsi="Times New Roman" w:cs="Times New Roman"/>
          <w:sz w:val="24"/>
          <w:szCs w:val="24"/>
          <w:lang w:eastAsia="bg-BG"/>
        </w:rPr>
        <w:t>II</w:t>
      </w:r>
      <w:r w:rsidRPr="00887D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Конвенцията за международно гражданско въздухоплаване.“</w:t>
      </w:r>
    </w:p>
    <w:p w:rsidR="00887DDF" w:rsidRDefault="00887DDF" w:rsidP="00887DDF">
      <w:pPr>
        <w:spacing w:after="0" w:line="180" w:lineRule="atLeast"/>
        <w:ind w:left="283" w:firstLine="43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7C9D" w:rsidRDefault="00357C9D" w:rsidP="00357C9D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6. </w:t>
      </w:r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bg-BG"/>
        </w:rPr>
        <w:t xml:space="preserve">Създава се </w:t>
      </w:r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приложение № 1б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чл. 1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 2</w:t>
      </w:r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:</w:t>
      </w:r>
    </w:p>
    <w:p w:rsidR="008B68E3" w:rsidRPr="008B68E3" w:rsidRDefault="008B68E3" w:rsidP="00357C9D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</w:p>
    <w:p w:rsidR="00357C9D" w:rsidRDefault="00357C9D" w:rsidP="00357C9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„Приложение № 1б към чл. 1, ал. 2</w:t>
      </w:r>
    </w:p>
    <w:p w:rsidR="008B68E3" w:rsidRPr="008B68E3" w:rsidRDefault="008B68E3" w:rsidP="00357C9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„Размер на летищните такси от 1 юли 2014 г.“ </w:t>
      </w:r>
    </w:p>
    <w:p w:rsidR="00357C9D" w:rsidRPr="008B68E3" w:rsidRDefault="00922B9F" w:rsidP="00357C9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„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Летищни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такси на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летищния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оператор на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летището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годишен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трафик над 5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милиона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превозени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пътници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летището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най-голям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брой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пътнически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превози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територията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Република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България</w:t>
      </w:r>
      <w:proofErr w:type="spellEnd"/>
      <w:r w:rsidRPr="008B68E3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 xml:space="preserve"> - ЛЕТИЩЕ СОФИЯ</w:t>
      </w:r>
    </w:p>
    <w:p w:rsidR="00357C9D" w:rsidRPr="008B68E3" w:rsidRDefault="00357C9D" w:rsidP="00922B9F">
      <w:pPr>
        <w:pStyle w:val="ListParagraph"/>
        <w:numPr>
          <w:ilvl w:val="0"/>
          <w:numId w:val="24"/>
        </w:numPr>
        <w:rPr>
          <w:b/>
        </w:rPr>
      </w:pPr>
      <w:r w:rsidRPr="008B68E3">
        <w:rPr>
          <w:b/>
        </w:rPr>
        <w:t>Такса  за кацане на въздухоплавателните средства: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1.1. Таксата за кацане се събира за всеки тон или част от него,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кръглена към следващ тон, от максималното излетно тегло на въздухоплавателно средство (ВС).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 Таксата е в еднакъв размер за полети по 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еждународни линии и за полети по 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ътрешни линии.</w:t>
      </w:r>
    </w:p>
    <w:p w:rsidR="00357C9D" w:rsidRPr="008B68E3" w:rsidRDefault="00357C9D" w:rsidP="00357C9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1.3. Единичната таксова единица за тон от максималното излетно тегло на ВС е 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разделена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групи (теглови диапазони) и е както следва:</w:t>
      </w:r>
    </w:p>
    <w:p w:rsidR="00357C9D" w:rsidRPr="008B68E3" w:rsidRDefault="00357C9D" w:rsidP="00357C9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C9D" w:rsidRPr="008B68E3" w:rsidRDefault="00357C9D" w:rsidP="00357C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6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Група 1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до 3 т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–            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7,00 </w:t>
      </w:r>
      <w:r w:rsidR="006F0CDB"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е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вро</w:t>
      </w:r>
      <w:r w:rsidRPr="008B68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357C9D" w:rsidRPr="008B68E3" w:rsidRDefault="00357C9D" w:rsidP="00357C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60" w:line="360" w:lineRule="auto"/>
        <w:ind w:left="357" w:firstLine="35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Група 2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над 3 т до 25 т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–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14,30</w:t>
      </w:r>
      <w:r w:rsidRPr="008B68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F0CDB" w:rsidRPr="008B68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вро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57C9D" w:rsidRPr="008B68E3" w:rsidRDefault="00357C9D" w:rsidP="00357C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6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Група 3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над 25 т до 65 т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–         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12,00</w:t>
      </w:r>
      <w:r w:rsidRPr="008B68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F0CDB"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е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вро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357C9D" w:rsidRPr="008B68E3" w:rsidRDefault="00357C9D" w:rsidP="00357C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Група 4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над 65 т до 100 т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–                      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10,10</w:t>
      </w:r>
      <w:r w:rsidRPr="008B68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F0CDB" w:rsidRPr="008B68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вро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357C9D" w:rsidRPr="008B68E3" w:rsidRDefault="00357C9D" w:rsidP="00357C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CCFFFF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           Група 5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ВС над 100 т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           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9,90</w:t>
      </w:r>
      <w:r w:rsidRPr="008B68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F0CDB"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е</w:t>
      </w:r>
      <w:r w:rsidRPr="008B68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вро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1.4. </w:t>
      </w:r>
      <w:r w:rsidR="007C2256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размера на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таксата за кацане на ВС не се 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включват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увеличения.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1.5. В размера на таксата по всеки теглови диапазон са включени разходи за издръжка на 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независимия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надзорен орган в размер на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евро за тон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 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таксата за кацане на ВС са приложими следните отстъпки за стимулиране развитието на трафика на Летище София:</w:t>
      </w:r>
    </w:p>
    <w:p w:rsidR="00357C9D" w:rsidRPr="008B68E3" w:rsidRDefault="00357C9D" w:rsidP="00357C9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1.6.1.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 редовен целогодишен маршрут – извън Европа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357C9D" w:rsidRPr="008B68E3" w:rsidRDefault="00357C9D" w:rsidP="00357C9D">
            <w:pPr>
              <w:spacing w:before="120" w:after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 xml:space="preserve">12 месеца от първия полет по маршрута 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99%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2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99%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3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80%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4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50%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5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20% намаление</w:t>
            </w:r>
          </w:p>
        </w:tc>
      </w:tr>
    </w:tbl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1.6.2.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 редовен целогодишен маршрут – в рамките на Европа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357C9D" w:rsidRPr="008B68E3" w:rsidRDefault="00357C9D" w:rsidP="00357C9D">
            <w:pPr>
              <w:spacing w:before="120" w:after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 xml:space="preserve">12 месеца от първия полет по маршрута 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80%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2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50%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3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20% намаление</w:t>
            </w:r>
          </w:p>
        </w:tc>
      </w:tr>
    </w:tbl>
    <w:p w:rsidR="00357C9D" w:rsidRPr="008B68E3" w:rsidRDefault="00357C9D" w:rsidP="00357C9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1.6.3.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целогодишно увеличен капацитет по действащ маршрут (само за допълнителните полети по маршрута):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 xml:space="preserve">12 месеца от първия допълнителен полет по маршрута 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80% намаление</w:t>
            </w:r>
          </w:p>
        </w:tc>
      </w:tr>
    </w:tbl>
    <w:p w:rsidR="00357C9D" w:rsidRPr="008B68E3" w:rsidRDefault="00357C9D" w:rsidP="00357C9D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1.6.4.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възстановен целогодишен маршрут: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Сезон 1</w:t>
            </w:r>
          </w:p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В рамките на съответния ИАТА сезон на полетното разписание, в който е възстановен маршрутът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30% намаление</w:t>
            </w:r>
          </w:p>
        </w:tc>
      </w:tr>
    </w:tbl>
    <w:p w:rsidR="00357C9D" w:rsidRPr="008B68E3" w:rsidRDefault="00357C9D" w:rsidP="00357C9D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1.6.5.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 сезонен маршрут (Разписание Зима или Разписание Лято):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Сезон 1</w:t>
            </w:r>
          </w:p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В рамките на съответния ИАТА сезон на полетното разписание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50% намаление</w:t>
            </w:r>
          </w:p>
        </w:tc>
      </w:tr>
    </w:tbl>
    <w:p w:rsidR="00357C9D" w:rsidRPr="008B68E3" w:rsidRDefault="00357C9D" w:rsidP="00357C9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1.6.6.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нов</w:t>
      </w:r>
      <w:r w:rsidR="00700ACE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международен товарен маршрут или за допълнителни полети по действащ такъв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Година 1</w:t>
            </w:r>
          </w:p>
          <w:p w:rsidR="00357C9D" w:rsidRPr="008B68E3" w:rsidRDefault="00357C9D" w:rsidP="00357C9D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 xml:space="preserve">12 месеца от първия полет (нов или допълнителен) 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20%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Година 2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10% намаление</w:t>
            </w:r>
          </w:p>
        </w:tc>
      </w:tr>
    </w:tbl>
    <w:p w:rsidR="00357C9D" w:rsidRPr="008B68E3" w:rsidRDefault="00357C9D" w:rsidP="00357C9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1.6.7.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полети по редовни вътрешни линии: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За периода на валидност на таксата кацане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80% намаление</w:t>
            </w:r>
          </w:p>
        </w:tc>
      </w:tr>
    </w:tbl>
    <w:p w:rsidR="00357C9D" w:rsidRPr="008B68E3" w:rsidRDefault="00357C9D" w:rsidP="00357C9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1.6.8.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брой изпълнени самолетодвижения по международни линии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един и същ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превозвач за всеки период от 12 последователни месеца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считано от 1.07.2014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Над </w:t>
            </w:r>
            <w:r w:rsidRPr="008B68E3">
              <w:rPr>
                <w:b/>
                <w:sz w:val="24"/>
                <w:szCs w:val="24"/>
                <w:lang w:eastAsia="bg-BG"/>
              </w:rPr>
              <w:t>3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000 самолетодвижения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3%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Над 5 000 самолетодвижения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5%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Над </w:t>
            </w:r>
            <w:r w:rsidRPr="008B68E3">
              <w:rPr>
                <w:b/>
                <w:sz w:val="24"/>
                <w:szCs w:val="24"/>
                <w:lang w:eastAsia="bg-BG"/>
              </w:rPr>
              <w:t>6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8B68E3">
              <w:rPr>
                <w:b/>
                <w:sz w:val="24"/>
                <w:szCs w:val="24"/>
                <w:lang w:eastAsia="bg-BG"/>
              </w:rPr>
              <w:t>5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00 самолетодвижения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10%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Над </w:t>
            </w:r>
            <w:r w:rsidRPr="008B68E3">
              <w:rPr>
                <w:b/>
                <w:sz w:val="24"/>
                <w:szCs w:val="24"/>
                <w:lang w:eastAsia="bg-BG"/>
              </w:rPr>
              <w:t>8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000 самолетодвижения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12% намаление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Над 10 000 самолетодвижения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15% намаление</w:t>
            </w:r>
          </w:p>
        </w:tc>
      </w:tr>
    </w:tbl>
    <w:p w:rsidR="00357C9D" w:rsidRPr="008B68E3" w:rsidRDefault="00357C9D" w:rsidP="00357C9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Процентното намаление се прилага върху начислената обща сума такса кацане за всички изпълнени самолетодвижения по международни линии от един и същ</w:t>
      </w:r>
      <w:r w:rsidR="00700ACE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превозвач за съответния 12-месечен период, с изключение на самолетодвижения, които отговарят на критериите за отстъпка по т. 1.6.1. до 1.6.6.</w:t>
      </w:r>
    </w:p>
    <w:p w:rsidR="00357C9D" w:rsidRPr="008B68E3" w:rsidRDefault="00357C9D" w:rsidP="00357C9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1.7. Отстъпките върху таксата за кацане на ВС по т.1.6.1. – 1.6.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се предоставят и се прилагат по </w:t>
      </w:r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отношение на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всички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превозвачи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чиито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полетни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отговарят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заложените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общи условия и критерии и по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реда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определен от </w:t>
      </w:r>
      <w:proofErr w:type="spellStart"/>
      <w:r w:rsidR="00700ACE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</w:t>
      </w:r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етищния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оператор в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Програмата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стимулиращи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отстъпки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за развитие на трафика на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Летище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София.</w:t>
      </w:r>
    </w:p>
    <w:p w:rsidR="00357C9D" w:rsidRPr="008B68E3" w:rsidRDefault="00357C9D" w:rsidP="00922B9F">
      <w:pPr>
        <w:pStyle w:val="ListParagraph"/>
        <w:numPr>
          <w:ilvl w:val="0"/>
          <w:numId w:val="24"/>
        </w:numPr>
        <w:spacing w:before="240"/>
        <w:rPr>
          <w:b/>
        </w:rPr>
      </w:pPr>
      <w:r w:rsidRPr="008B68E3">
        <w:rPr>
          <w:b/>
        </w:rPr>
        <w:t>Такса за паркиране на ВС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2.1. Таксата за паркиране на ВС се събира за всеки тон или част от него,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кръглена към следващ тон, от максималното излетно тегло на ВС, за всеки започнат час над безплатния престой. 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2.2. Единичната таксова единица за тон на час е диференцирана в 6 групи в зависимост от периода на денонощието и типа на ползваното съоръжение (местостоянка):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1"/>
        <w:tblW w:w="9288" w:type="dxa"/>
        <w:tblInd w:w="360" w:type="dxa"/>
        <w:tblLook w:val="01E0" w:firstRow="1" w:lastRow="1" w:firstColumn="1" w:lastColumn="1" w:noHBand="0" w:noVBand="0"/>
      </w:tblPr>
      <w:tblGrid>
        <w:gridCol w:w="4608"/>
        <w:gridCol w:w="4680"/>
      </w:tblGrid>
      <w:tr w:rsidR="00357C9D" w:rsidRPr="008B68E3" w:rsidTr="00357C9D">
        <w:trPr>
          <w:trHeight w:val="935"/>
        </w:trPr>
        <w:tc>
          <w:tcPr>
            <w:tcW w:w="4608" w:type="dxa"/>
            <w:shd w:val="clear" w:color="auto" w:fill="CCFFFF"/>
          </w:tcPr>
          <w:p w:rsidR="00357C9D" w:rsidRPr="008B68E3" w:rsidRDefault="00357C9D" w:rsidP="00357C9D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Оперативна местостоянка - „ден”*</w:t>
            </w:r>
          </w:p>
          <w:p w:rsidR="00357C9D" w:rsidRPr="008B68E3" w:rsidRDefault="00357C9D" w:rsidP="00357C9D">
            <w:pPr>
              <w:jc w:val="center"/>
              <w:rPr>
                <w:b/>
                <w:sz w:val="28"/>
                <w:szCs w:val="28"/>
                <w:lang w:val="bg-BG" w:eastAsia="bg-BG"/>
              </w:rPr>
            </w:pPr>
            <w:r w:rsidRPr="008B68E3">
              <w:rPr>
                <w:b/>
                <w:sz w:val="28"/>
                <w:szCs w:val="28"/>
                <w:lang w:val="bg-BG" w:eastAsia="bg-BG"/>
              </w:rPr>
              <w:t>0,1</w:t>
            </w:r>
            <w:r w:rsidRPr="008B68E3">
              <w:rPr>
                <w:b/>
                <w:sz w:val="28"/>
                <w:szCs w:val="28"/>
                <w:lang w:val="ru-RU" w:eastAsia="bg-BG"/>
              </w:rPr>
              <w:t>6</w:t>
            </w:r>
            <w:r w:rsidRPr="008B68E3">
              <w:rPr>
                <w:b/>
                <w:sz w:val="28"/>
                <w:szCs w:val="28"/>
                <w:lang w:val="bg-BG" w:eastAsia="bg-BG"/>
              </w:rPr>
              <w:t xml:space="preserve"> Евро </w:t>
            </w:r>
          </w:p>
        </w:tc>
        <w:tc>
          <w:tcPr>
            <w:tcW w:w="4680" w:type="dxa"/>
            <w:shd w:val="clear" w:color="auto" w:fill="CCFFFF"/>
          </w:tcPr>
          <w:p w:rsidR="00357C9D" w:rsidRPr="008B68E3" w:rsidRDefault="00357C9D" w:rsidP="00357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Оперативна местостоянка - „нощ”**</w:t>
            </w:r>
          </w:p>
          <w:p w:rsidR="00357C9D" w:rsidRPr="008B68E3" w:rsidRDefault="006F0CDB" w:rsidP="00357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8"/>
                <w:szCs w:val="28"/>
                <w:lang w:val="bg-BG" w:eastAsia="bg-BG"/>
              </w:rPr>
              <w:t>0,06 е</w:t>
            </w:r>
            <w:r w:rsidR="00357C9D" w:rsidRPr="008B68E3">
              <w:rPr>
                <w:b/>
                <w:sz w:val="28"/>
                <w:szCs w:val="28"/>
                <w:lang w:val="bg-BG" w:eastAsia="bg-BG"/>
              </w:rPr>
              <w:t>вро</w:t>
            </w:r>
            <w:r w:rsidR="00357C9D" w:rsidRPr="008B68E3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357C9D" w:rsidRPr="008B68E3" w:rsidTr="00357C9D">
        <w:trPr>
          <w:trHeight w:val="1114"/>
        </w:trPr>
        <w:tc>
          <w:tcPr>
            <w:tcW w:w="4608" w:type="dxa"/>
            <w:shd w:val="clear" w:color="auto" w:fill="CCFFFF"/>
          </w:tcPr>
          <w:p w:rsidR="00357C9D" w:rsidRPr="008B68E3" w:rsidRDefault="00357C9D" w:rsidP="00357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Местостоянка за дълговременен престой „</w:t>
            </w:r>
            <w:r w:rsidRPr="008B68E3">
              <w:rPr>
                <w:b/>
                <w:sz w:val="24"/>
                <w:szCs w:val="24"/>
                <w:lang w:eastAsia="bg-BG"/>
              </w:rPr>
              <w:t>Long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>-</w:t>
            </w:r>
            <w:r w:rsidRPr="008B68E3">
              <w:rPr>
                <w:b/>
                <w:sz w:val="24"/>
                <w:szCs w:val="24"/>
                <w:lang w:eastAsia="bg-BG"/>
              </w:rPr>
              <w:t>term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b/>
                <w:sz w:val="24"/>
                <w:szCs w:val="24"/>
                <w:lang w:eastAsia="bg-BG"/>
              </w:rPr>
              <w:t>Stand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„ден”*</w:t>
            </w:r>
          </w:p>
          <w:p w:rsidR="00357C9D" w:rsidRPr="008B68E3" w:rsidRDefault="00357C9D" w:rsidP="00357C9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8"/>
                <w:szCs w:val="28"/>
                <w:lang w:val="bg-BG" w:eastAsia="bg-BG"/>
              </w:rPr>
              <w:t>0,13 Евро</w:t>
            </w:r>
            <w:r w:rsidRPr="008B68E3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680" w:type="dxa"/>
            <w:shd w:val="clear" w:color="auto" w:fill="CCFFFF"/>
          </w:tcPr>
          <w:p w:rsidR="00357C9D" w:rsidRPr="008B68E3" w:rsidRDefault="00357C9D" w:rsidP="00357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Местостоянка за дълговременен престой „</w:t>
            </w:r>
            <w:r w:rsidRPr="008B68E3">
              <w:rPr>
                <w:b/>
                <w:sz w:val="24"/>
                <w:szCs w:val="24"/>
                <w:lang w:eastAsia="bg-BG"/>
              </w:rPr>
              <w:t>Long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>-</w:t>
            </w:r>
            <w:r w:rsidRPr="008B68E3">
              <w:rPr>
                <w:b/>
                <w:sz w:val="24"/>
                <w:szCs w:val="24"/>
                <w:lang w:eastAsia="bg-BG"/>
              </w:rPr>
              <w:t>term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b/>
                <w:sz w:val="24"/>
                <w:szCs w:val="24"/>
                <w:lang w:eastAsia="bg-BG"/>
              </w:rPr>
              <w:t>Stand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„нощ”**</w:t>
            </w:r>
          </w:p>
          <w:p w:rsidR="00357C9D" w:rsidRPr="008B68E3" w:rsidRDefault="006F0CDB" w:rsidP="00357C9D">
            <w:pPr>
              <w:jc w:val="center"/>
              <w:rPr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8"/>
                <w:szCs w:val="28"/>
                <w:lang w:val="bg-BG" w:eastAsia="bg-BG"/>
              </w:rPr>
              <w:t>0,04 е</w:t>
            </w:r>
            <w:r w:rsidR="00357C9D" w:rsidRPr="008B68E3">
              <w:rPr>
                <w:b/>
                <w:sz w:val="28"/>
                <w:szCs w:val="28"/>
                <w:lang w:val="bg-BG" w:eastAsia="bg-BG"/>
              </w:rPr>
              <w:t>вро</w:t>
            </w:r>
            <w:r w:rsidR="00357C9D" w:rsidRPr="008B68E3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357C9D" w:rsidRPr="008B68E3" w:rsidTr="00357C9D">
        <w:trPr>
          <w:trHeight w:val="1074"/>
        </w:trPr>
        <w:tc>
          <w:tcPr>
            <w:tcW w:w="4608" w:type="dxa"/>
            <w:shd w:val="clear" w:color="auto" w:fill="CCFFFF"/>
          </w:tcPr>
          <w:p w:rsidR="00357C9D" w:rsidRPr="008B68E3" w:rsidRDefault="00357C9D" w:rsidP="00357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Зона за дълговременен престой „</w:t>
            </w:r>
            <w:r w:rsidRPr="008B68E3">
              <w:rPr>
                <w:b/>
                <w:sz w:val="24"/>
                <w:szCs w:val="24"/>
                <w:lang w:eastAsia="bg-BG"/>
              </w:rPr>
              <w:t>Long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>-</w:t>
            </w:r>
            <w:r w:rsidRPr="008B68E3">
              <w:rPr>
                <w:b/>
                <w:sz w:val="24"/>
                <w:szCs w:val="24"/>
                <w:lang w:eastAsia="bg-BG"/>
              </w:rPr>
              <w:t>term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b/>
                <w:sz w:val="24"/>
                <w:szCs w:val="24"/>
                <w:lang w:eastAsia="bg-BG"/>
              </w:rPr>
              <w:t>Bay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„ден”*</w:t>
            </w:r>
          </w:p>
          <w:p w:rsidR="00357C9D" w:rsidRPr="008B68E3" w:rsidRDefault="00357C9D" w:rsidP="00357C9D">
            <w:pPr>
              <w:jc w:val="center"/>
              <w:rPr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8"/>
                <w:szCs w:val="28"/>
                <w:lang w:val="bg-BG" w:eastAsia="bg-BG"/>
              </w:rPr>
              <w:t>0,015 Евро</w:t>
            </w:r>
            <w:r w:rsidRPr="008B68E3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680" w:type="dxa"/>
            <w:shd w:val="clear" w:color="auto" w:fill="CCFFFF"/>
          </w:tcPr>
          <w:p w:rsidR="00357C9D" w:rsidRPr="008B68E3" w:rsidRDefault="00357C9D" w:rsidP="00357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Зона за дълговременен престой „</w:t>
            </w:r>
            <w:r w:rsidRPr="008B68E3">
              <w:rPr>
                <w:b/>
                <w:sz w:val="24"/>
                <w:szCs w:val="24"/>
                <w:lang w:eastAsia="bg-BG"/>
              </w:rPr>
              <w:t>Long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>-</w:t>
            </w:r>
            <w:r w:rsidRPr="008B68E3">
              <w:rPr>
                <w:b/>
                <w:sz w:val="24"/>
                <w:szCs w:val="24"/>
                <w:lang w:eastAsia="bg-BG"/>
              </w:rPr>
              <w:t>term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b/>
                <w:sz w:val="24"/>
                <w:szCs w:val="24"/>
                <w:lang w:eastAsia="bg-BG"/>
              </w:rPr>
              <w:t>Bay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” - 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„нощ”**</w:t>
            </w:r>
          </w:p>
          <w:p w:rsidR="00357C9D" w:rsidRPr="008B68E3" w:rsidRDefault="006F0CDB" w:rsidP="00357C9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8"/>
                <w:szCs w:val="28"/>
                <w:lang w:val="bg-BG" w:eastAsia="bg-BG"/>
              </w:rPr>
              <w:t>0,01 е</w:t>
            </w:r>
            <w:r w:rsidR="00357C9D" w:rsidRPr="008B68E3">
              <w:rPr>
                <w:b/>
                <w:sz w:val="28"/>
                <w:szCs w:val="28"/>
                <w:lang w:val="bg-BG" w:eastAsia="bg-BG"/>
              </w:rPr>
              <w:t>вро</w:t>
            </w:r>
            <w:r w:rsidR="00357C9D" w:rsidRPr="008B68E3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</w:tr>
    </w:tbl>
    <w:p w:rsidR="00357C9D" w:rsidRPr="008B68E3" w:rsidRDefault="00357C9D" w:rsidP="00357C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* „Ден” е периодът от 06:00 часа до 22:59 ч. местно време; </w:t>
      </w:r>
    </w:p>
    <w:p w:rsidR="00357C9D" w:rsidRPr="008B68E3" w:rsidRDefault="00357C9D" w:rsidP="00357C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** „Нощ” е периодът от 23:00 часа до 05:59 ч. местно време.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.3. Такса паркиране не се заплаща за престой на ВС до:</w:t>
      </w:r>
    </w:p>
    <w:p w:rsidR="00357C9D" w:rsidRPr="008B68E3" w:rsidRDefault="00C61C72" w:rsidP="00C61C72">
      <w:p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2.3.1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3 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часа след кацане – за ВС, изпълняващи пътнически полети;</w:t>
      </w:r>
    </w:p>
    <w:p w:rsidR="00357C9D" w:rsidRPr="008B68E3" w:rsidRDefault="00357C9D" w:rsidP="00357C9D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 часа след кацане - за ВС с максимално излетно тегло до 150 тона, изпълняващи товарни полети;</w:t>
      </w:r>
    </w:p>
    <w:p w:rsidR="00357C9D" w:rsidRPr="008B68E3" w:rsidRDefault="00357C9D" w:rsidP="00357C9D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 часа след кацане - за ВС с максимално излетно тегло над 150 тона, изпълняващи товарни полети.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2.4. Летищният оператор публикува списък с номера на местостоянки за оперативен престой на ВС и на местостоянки за дълговременен престой на ВС (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Long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term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Stands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 както и обозначение на зоната за дълговременен престой (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Long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term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Bay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43384A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9B537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таксата за паркиране на ВС са приложими следните отстъпки за стимулиране развитието на трафика на Летище София:</w:t>
      </w:r>
    </w:p>
    <w:p w:rsidR="00357C9D" w:rsidRPr="008B68E3" w:rsidRDefault="00357C9D" w:rsidP="00357C9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43384A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.1.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r w:rsidR="009B537F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въздушни пр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евозвачи, чиито въздухоплавателни средства </w:t>
      </w:r>
      <w:r w:rsidR="009B537F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са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местодомува</w:t>
      </w:r>
      <w:r w:rsidR="009B537F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щи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Летище София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са ангажирани в изпълнение на регулярна полетна програма с отправно летище – Летище София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357C9D" w:rsidRPr="008B68E3" w:rsidTr="00357C9D">
        <w:tc>
          <w:tcPr>
            <w:tcW w:w="468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При местодомуващи повече от 3 ВС на един и същи превозвач</w:t>
            </w:r>
          </w:p>
        </w:tc>
        <w:tc>
          <w:tcPr>
            <w:tcW w:w="450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50% намаление</w:t>
            </w:r>
            <w:r w:rsidRPr="008B68E3">
              <w:rPr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sz w:val="24"/>
                <w:szCs w:val="24"/>
                <w:lang w:val="bg-BG" w:eastAsia="bg-BG"/>
              </w:rPr>
              <w:t>върху таксата за оперативна местостоянка – ден и нощ</w:t>
            </w:r>
          </w:p>
        </w:tc>
      </w:tr>
      <w:tr w:rsidR="00357C9D" w:rsidRPr="008B68E3" w:rsidTr="00357C9D">
        <w:tc>
          <w:tcPr>
            <w:tcW w:w="468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При местодомуващи повече от 6 ВС на един и същи превозвач</w:t>
            </w:r>
          </w:p>
        </w:tc>
        <w:tc>
          <w:tcPr>
            <w:tcW w:w="450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70% намаление върху таксата за оперативна местостоянка – ден и нощ</w:t>
            </w:r>
          </w:p>
        </w:tc>
      </w:tr>
    </w:tbl>
    <w:p w:rsidR="00357C9D" w:rsidRPr="008B68E3" w:rsidRDefault="0043384A" w:rsidP="00357C9D">
      <w:pPr>
        <w:spacing w:before="24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2.5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.2. </w:t>
      </w:r>
      <w:r w:rsidR="00357C9D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пътнически полети по редовни международни линии</w:t>
      </w:r>
      <w:r w:rsidR="00357C9D" w:rsidRPr="008B68E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="00357C9D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изпълнявани с въздухоплавателно средство с максимално излетно тегло над 130 тона:</w:t>
      </w:r>
    </w:p>
    <w:tbl>
      <w:tblPr>
        <w:tblStyle w:val="TableGrid1"/>
        <w:tblW w:w="0" w:type="auto"/>
        <w:tblInd w:w="468" w:type="dxa"/>
        <w:tblLook w:val="01E0" w:firstRow="1" w:lastRow="1" w:firstColumn="1" w:lastColumn="1" w:noHBand="0" w:noVBand="0"/>
      </w:tblPr>
      <w:tblGrid>
        <w:gridCol w:w="4680"/>
        <w:gridCol w:w="4064"/>
      </w:tblGrid>
      <w:tr w:rsidR="00357C9D" w:rsidRPr="008B68E3" w:rsidTr="00357C9D">
        <w:tc>
          <w:tcPr>
            <w:tcW w:w="468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Оперативна местостоянка – „нощ” </w:t>
            </w:r>
          </w:p>
        </w:tc>
        <w:tc>
          <w:tcPr>
            <w:tcW w:w="4064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100% намаление</w:t>
            </w:r>
          </w:p>
        </w:tc>
      </w:tr>
    </w:tbl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Отстъпката се прилага за в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ъздухоплавателни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средства,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изпълняват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редовни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международни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полети до/от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Летище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София с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продължителност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 6 часа 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8B68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long-haul flights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57C9D" w:rsidRPr="008B68E3" w:rsidRDefault="0043384A" w:rsidP="00357C9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2.6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Отстъпките върху так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сата за паркиране на ВС по т.2.5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.1. – 2.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се предоставят и се прилагат по </w:t>
      </w:r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отношение на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всички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превозвачи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чиито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полетни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програми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отговарят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заложените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общи условия и критерии и по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реда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определен от </w:t>
      </w:r>
      <w:proofErr w:type="spellStart"/>
      <w:r w:rsidR="009B537F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</w:t>
      </w:r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етищния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оператор в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Програмата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стимулиращи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отстъпки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за развитие на трафика на </w:t>
      </w:r>
      <w:proofErr w:type="spellStart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Летище</w:t>
      </w:r>
      <w:proofErr w:type="spellEnd"/>
      <w:r w:rsidR="00357C9D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София.</w:t>
      </w:r>
    </w:p>
    <w:p w:rsidR="00357C9D" w:rsidRPr="008B68E3" w:rsidRDefault="00357C9D" w:rsidP="00922B9F">
      <w:pPr>
        <w:numPr>
          <w:ilvl w:val="0"/>
          <w:numId w:val="24"/>
        </w:numPr>
        <w:spacing w:before="240" w:after="0" w:line="240" w:lineRule="auto"/>
        <w:ind w:left="357"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Такса за пътници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3.1. Таксата „Пътници” се събира за всеки заминаващ пътник (започващ пътуването си от Летище София или извършващ трансфер от един полет на друг).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Единичната таксова единица за пътници е </w:t>
      </w:r>
      <w:r w:rsidR="0043384A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зависимост от терминала, на който се обслужва заминаващия полет, и в зависимост от дестинацията на полета -  по международни или по вътрешни линии: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7C9D" w:rsidRPr="008B68E3" w:rsidRDefault="00357C9D" w:rsidP="00357C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559" w:type="dxa"/>
        <w:jc w:val="center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2789"/>
        <w:gridCol w:w="2259"/>
      </w:tblGrid>
      <w:tr w:rsidR="00357C9D" w:rsidRPr="008B68E3" w:rsidTr="00357C9D">
        <w:trPr>
          <w:trHeight w:val="45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Международни линии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1 - възрастни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6F0CDB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 5,50 е</w:t>
            </w:r>
            <w:r w:rsidR="00357C9D"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вро </w:t>
            </w:r>
          </w:p>
        </w:tc>
      </w:tr>
      <w:tr w:rsidR="00357C9D" w:rsidRPr="008B68E3" w:rsidTr="00357C9D">
        <w:trPr>
          <w:trHeight w:val="450"/>
          <w:jc w:val="center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57C9D" w:rsidRPr="008B68E3" w:rsidRDefault="00357C9D" w:rsidP="0035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2 - възрастни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6F0CDB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11,50 е</w:t>
            </w:r>
            <w:r w:rsidR="00357C9D"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вро</w:t>
            </w:r>
          </w:p>
        </w:tc>
      </w:tr>
      <w:tr w:rsidR="00357C9D" w:rsidRPr="008B68E3" w:rsidTr="00357C9D">
        <w:trPr>
          <w:trHeight w:val="450"/>
          <w:jc w:val="center"/>
        </w:trPr>
        <w:tc>
          <w:tcPr>
            <w:tcW w:w="3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Вътрешни линии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1 - възрастни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 </w:t>
            </w: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  <w:r w:rsidR="006F0CDB"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,40 е</w:t>
            </w: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вро</w:t>
            </w:r>
          </w:p>
        </w:tc>
      </w:tr>
      <w:tr w:rsidR="00357C9D" w:rsidRPr="008B68E3" w:rsidTr="00357C9D">
        <w:trPr>
          <w:trHeight w:val="450"/>
          <w:jc w:val="center"/>
        </w:trPr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57C9D" w:rsidRPr="008B68E3" w:rsidRDefault="00357C9D" w:rsidP="0035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Терминал 2 - възрастни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 xml:space="preserve">  </w:t>
            </w: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  <w:r w:rsidR="006F0CDB"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,40 е</w:t>
            </w:r>
            <w:r w:rsidRPr="008B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bg-BG"/>
              </w:rPr>
              <w:t>вро</w:t>
            </w:r>
          </w:p>
        </w:tc>
      </w:tr>
    </w:tbl>
    <w:p w:rsidR="00357C9D" w:rsidRPr="008B68E3" w:rsidRDefault="00357C9D" w:rsidP="00357C9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3.3. Деца над 2 до 12 години заплащат 50 % от пълния размер на съответната такса. Деца до 2-годишна възраст и транзитни пътници са освободени от заплащане на таксата.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3.4. В размера на таксата за пътници са включени разходи за издръжка на </w:t>
      </w:r>
      <w:r w:rsidR="009B537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независимия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надзорен орган в размер на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0,05 евро за всеки заминаващ пътник над</w:t>
      </w:r>
      <w:r w:rsidRPr="008B68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12-годишна възраст (възрастен)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в размер на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0,025 евро за всеки заминаващ пътник между 2 и 12-годишна възраст (дете)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57C9D" w:rsidRPr="008B68E3" w:rsidRDefault="00357C9D" w:rsidP="00357C9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3.5. </w:t>
      </w:r>
      <w:r w:rsidR="009B537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таксата за пътници са приложими следните отстъпки за стимулиране развитието на трафика на Летище София:</w:t>
      </w:r>
    </w:p>
    <w:p w:rsidR="00357C9D" w:rsidRPr="008B68E3" w:rsidRDefault="00357C9D" w:rsidP="00357C9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3.5.1.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превозвачи, допринасящи за развитие на трансферен пътнически трафик през Летище София: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пътници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пристигащи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международен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или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вътрешен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полет и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заминаващи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международен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полет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45% намаление върху таксата за пътници по международни линии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пътници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пристигащи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международен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полет и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заминаващи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8B68E3">
              <w:rPr>
                <w:b/>
                <w:sz w:val="24"/>
                <w:szCs w:val="24"/>
                <w:lang w:val="ru-RU" w:eastAsia="bg-BG"/>
              </w:rPr>
              <w:t>вътрешен</w:t>
            </w:r>
            <w:proofErr w:type="spellEnd"/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 полет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 w:after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45% намаление върху таксата за пътници по вътрешни линии</w:t>
            </w:r>
          </w:p>
        </w:tc>
      </w:tr>
    </w:tbl>
    <w:p w:rsidR="00357C9D" w:rsidRPr="008B68E3" w:rsidRDefault="00357C9D" w:rsidP="00357C9D">
      <w:pPr>
        <w:spacing w:before="240" w:after="12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 xml:space="preserve">3.5.2.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брой заминали пътници по международни линии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един и същи превозвач за всеки период от 12 последователни месеца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считано от 1.07.2014 г.</w:t>
      </w:r>
      <w:r w:rsidRPr="008B68E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</w:p>
    <w:tbl>
      <w:tblPr>
        <w:tblStyle w:val="TableGrid1"/>
        <w:tblW w:w="9180" w:type="dxa"/>
        <w:tblInd w:w="46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357C9D" w:rsidRPr="008B68E3" w:rsidTr="00357C9D">
        <w:trPr>
          <w:trHeight w:val="699"/>
        </w:trPr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ru-RU" w:eastAsia="bg-BG"/>
              </w:rPr>
              <w:t xml:space="preserve">над 100 000 до 200 000 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пътници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0,50 Евро намаление за заминаващ пътник</w:t>
            </w:r>
          </w:p>
        </w:tc>
      </w:tr>
      <w:tr w:rsidR="00357C9D" w:rsidRPr="008B68E3" w:rsidTr="00357C9D">
        <w:trPr>
          <w:trHeight w:val="620"/>
        </w:trPr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ru-RU" w:eastAsia="bg-BG"/>
              </w:rPr>
              <w:t>над 200 000 до 300 000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пътници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0,75 Евро намаление за заминаващ пътник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ru-RU" w:eastAsia="bg-BG"/>
              </w:rPr>
              <w:t>над 300 000 до 400 000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пътници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1,00 Евро намаление за заминаващ пътник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ru-RU" w:eastAsia="bg-BG"/>
              </w:rPr>
              <w:t>над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400 000 </w:t>
            </w:r>
            <w:r w:rsidRPr="008B68E3">
              <w:rPr>
                <w:b/>
                <w:sz w:val="24"/>
                <w:szCs w:val="24"/>
                <w:lang w:val="ru-RU" w:eastAsia="bg-BG"/>
              </w:rPr>
              <w:t>до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500 000 пътници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1,20 Евро намаление за заминаващ пътник</w:t>
            </w:r>
          </w:p>
        </w:tc>
      </w:tr>
      <w:tr w:rsidR="00357C9D" w:rsidRPr="008B68E3" w:rsidTr="00357C9D">
        <w:tc>
          <w:tcPr>
            <w:tcW w:w="5040" w:type="dxa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ru-RU" w:eastAsia="bg-BG"/>
              </w:rPr>
            </w:pPr>
            <w:r w:rsidRPr="008B68E3">
              <w:rPr>
                <w:b/>
                <w:sz w:val="24"/>
                <w:szCs w:val="24"/>
                <w:lang w:val="ru-RU" w:eastAsia="bg-BG"/>
              </w:rPr>
              <w:t>над 500 000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 пътници</w:t>
            </w:r>
          </w:p>
        </w:tc>
        <w:tc>
          <w:tcPr>
            <w:tcW w:w="4140" w:type="dxa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1,35 Евро намаление за заминаващ пътник</w:t>
            </w:r>
          </w:p>
        </w:tc>
      </w:tr>
    </w:tbl>
    <w:p w:rsidR="00357C9D" w:rsidRPr="008B68E3" w:rsidRDefault="00357C9D" w:rsidP="00357C9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Намалението се прилага върху начислената обща сума такса пътници за всички заминали пътници по международни линии (включително деца) с полети на един и същи превозвач за съответния 12-месечен период, с изключение на трансферни пътници, отговарящи на критериите за отстъпка по т. 3.5.1.</w:t>
      </w:r>
    </w:p>
    <w:p w:rsidR="00357C9D" w:rsidRPr="008B68E3" w:rsidRDefault="00357C9D" w:rsidP="00357C9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3.6. Отстъпките върху таксата за пътници по т.3.5.1. – 3.5.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се предоставят и се прилагат по </w:t>
      </w:r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отношение на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всички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превозвачи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чиито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полетни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отговарят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на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заложените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общи условия и критерии и по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реда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, определен от </w:t>
      </w:r>
      <w:proofErr w:type="spellStart"/>
      <w:r w:rsidR="009B537F"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</w:t>
      </w:r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етищния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оператор в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Програмата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от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стимулиращи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отстъпки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за развитие на трафика на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>Летище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36"/>
          <w:lang w:val="ru-RU" w:eastAsia="bg-BG"/>
        </w:rPr>
        <w:t xml:space="preserve"> София.</w:t>
      </w:r>
    </w:p>
    <w:p w:rsidR="00357C9D" w:rsidRPr="008B68E3" w:rsidRDefault="00357C9D" w:rsidP="00357C9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57C9D" w:rsidRPr="008B68E3" w:rsidRDefault="00357C9D" w:rsidP="00922B9F">
      <w:pPr>
        <w:numPr>
          <w:ilvl w:val="0"/>
          <w:numId w:val="24"/>
        </w:numPr>
        <w:spacing w:before="240" w:after="0" w:line="240" w:lineRule="auto"/>
        <w:ind w:left="357" w:firstLine="0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Т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акса за ползване на пътнически ръкав</w:t>
      </w:r>
    </w:p>
    <w:p w:rsidR="00357C9D" w:rsidRPr="008B68E3" w:rsidRDefault="00357C9D" w:rsidP="00357C9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="0043384A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Единичната таксова единица е диференцирана за първоначален период на ползване до 60 минути и за всеки започнати допълнителни 15 минути: </w:t>
      </w:r>
    </w:p>
    <w:tbl>
      <w:tblPr>
        <w:tblW w:w="8641" w:type="dxa"/>
        <w:jc w:val="center"/>
        <w:tblInd w:w="-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3606"/>
      </w:tblGrid>
      <w:tr w:rsidR="00357C9D" w:rsidRPr="008B68E3" w:rsidTr="00357C9D">
        <w:trPr>
          <w:trHeight w:val="555"/>
          <w:jc w:val="center"/>
        </w:trPr>
        <w:tc>
          <w:tcPr>
            <w:tcW w:w="5035" w:type="dxa"/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 първоначален период до 60</w:t>
            </w: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минути</w:t>
            </w:r>
          </w:p>
        </w:tc>
        <w:tc>
          <w:tcPr>
            <w:tcW w:w="3606" w:type="dxa"/>
            <w:shd w:val="clear" w:color="auto" w:fill="CCFFFF"/>
            <w:noWrap/>
            <w:vAlign w:val="center"/>
          </w:tcPr>
          <w:p w:rsidR="00357C9D" w:rsidRPr="008B68E3" w:rsidRDefault="006F0CDB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95 е</w:t>
            </w:r>
            <w:r w:rsidR="00357C9D" w:rsidRPr="008B6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вро</w:t>
            </w:r>
          </w:p>
        </w:tc>
      </w:tr>
      <w:tr w:rsidR="00357C9D" w:rsidRPr="008B68E3" w:rsidTr="00357C9D">
        <w:trPr>
          <w:trHeight w:val="555"/>
          <w:jc w:val="center"/>
        </w:trPr>
        <w:tc>
          <w:tcPr>
            <w:tcW w:w="5035" w:type="dxa"/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всеки последващи 15 минути </w:t>
            </w: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br/>
              <w:t>или част от тях</w:t>
            </w:r>
          </w:p>
        </w:tc>
        <w:tc>
          <w:tcPr>
            <w:tcW w:w="3606" w:type="dxa"/>
            <w:shd w:val="clear" w:color="auto" w:fill="CCFFFF"/>
            <w:noWrap/>
            <w:vAlign w:val="center"/>
          </w:tcPr>
          <w:p w:rsidR="00357C9D" w:rsidRPr="008B68E3" w:rsidRDefault="00357C9D" w:rsidP="003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3</w:t>
            </w:r>
            <w:r w:rsidRPr="008B6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4</w:t>
            </w:r>
            <w:r w:rsidR="006F0CDB" w:rsidRPr="008B6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 е</w:t>
            </w:r>
            <w:r w:rsidRPr="008B6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вро</w:t>
            </w:r>
          </w:p>
        </w:tc>
      </w:tr>
    </w:tbl>
    <w:p w:rsidR="00357C9D" w:rsidRPr="008B68E3" w:rsidRDefault="0043384A" w:rsidP="00357C9D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4.2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Таксата „Ползване на пътнически ръкав” се прилага в еднакъв размер, без разлика за типа на ВС, вида на полета (по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еждународни или по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ътрешни линии) и периода от денонощието, в който се ползва съоръжението.</w:t>
      </w:r>
    </w:p>
    <w:p w:rsidR="00357C9D" w:rsidRPr="008B68E3" w:rsidRDefault="0043384A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4.3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При ползване на пътнически ръкав с прекъсване, времето на ползване след кацане се сумира с времето на ползване преди излитане на едно и също ВС и таксата се начислява за така полученото общо време на ползване. Времето, през което съоръжението не се използва, не се </w:t>
      </w:r>
      <w:r w:rsidR="009B537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заплаща такса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57C9D" w:rsidRPr="008B68E3" w:rsidRDefault="00357C9D" w:rsidP="00922B9F">
      <w:pPr>
        <w:numPr>
          <w:ilvl w:val="0"/>
          <w:numId w:val="24"/>
        </w:numPr>
        <w:spacing w:before="240" w:after="0" w:line="240" w:lineRule="auto"/>
        <w:ind w:left="357" w:firstLine="0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Т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акса за сигурност</w:t>
      </w:r>
    </w:p>
    <w:p w:rsidR="00357C9D" w:rsidRPr="008B68E3" w:rsidRDefault="00357C9D" w:rsidP="00357C9D">
      <w:pPr>
        <w:spacing w:before="12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43384A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Единичната таксова единица за ВС, превозващи пътници, се събира за всеки заминаващ пътник (започващ пътуването си от Летище София или извършващ трансфер от един полет на друг):</w:t>
      </w:r>
      <w:r w:rsidRPr="008B68E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</w:p>
    <w:tbl>
      <w:tblPr>
        <w:tblStyle w:val="TableGrid1"/>
        <w:tblW w:w="0" w:type="auto"/>
        <w:jc w:val="center"/>
        <w:tblInd w:w="612" w:type="dxa"/>
        <w:shd w:val="clear" w:color="auto" w:fill="CCFFFF"/>
        <w:tblLook w:val="01E0" w:firstRow="1" w:lastRow="1" w:firstColumn="1" w:lastColumn="1" w:noHBand="0" w:noVBand="0"/>
      </w:tblPr>
      <w:tblGrid>
        <w:gridCol w:w="4135"/>
        <w:gridCol w:w="4361"/>
      </w:tblGrid>
      <w:tr w:rsidR="00357C9D" w:rsidRPr="008B68E3" w:rsidTr="00357C9D">
        <w:trPr>
          <w:trHeight w:val="597"/>
          <w:jc w:val="center"/>
        </w:trPr>
        <w:tc>
          <w:tcPr>
            <w:tcW w:w="4135" w:type="dxa"/>
            <w:shd w:val="clear" w:color="auto" w:fill="CCFFFF"/>
          </w:tcPr>
          <w:p w:rsidR="00357C9D" w:rsidRPr="008B68E3" w:rsidRDefault="00357C9D" w:rsidP="00357C9D">
            <w:pPr>
              <w:spacing w:before="24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 xml:space="preserve">За заминаващ пътник </w:t>
            </w:r>
          </w:p>
        </w:tc>
        <w:tc>
          <w:tcPr>
            <w:tcW w:w="4361" w:type="dxa"/>
            <w:shd w:val="clear" w:color="auto" w:fill="CCFFFF"/>
          </w:tcPr>
          <w:p w:rsidR="00357C9D" w:rsidRPr="008B68E3" w:rsidRDefault="00357C9D" w:rsidP="006F0CDB">
            <w:pPr>
              <w:spacing w:before="120"/>
              <w:jc w:val="center"/>
              <w:rPr>
                <w:sz w:val="28"/>
                <w:szCs w:val="28"/>
                <w:lang w:val="bg-BG" w:eastAsia="bg-BG"/>
              </w:rPr>
            </w:pPr>
            <w:r w:rsidRPr="008B68E3">
              <w:rPr>
                <w:b/>
                <w:sz w:val="28"/>
                <w:szCs w:val="28"/>
                <w:lang w:val="bg-BG" w:eastAsia="bg-BG"/>
              </w:rPr>
              <w:t>5,50</w:t>
            </w:r>
            <w:r w:rsidRPr="008B68E3">
              <w:rPr>
                <w:sz w:val="28"/>
                <w:szCs w:val="28"/>
                <w:lang w:val="bg-BG" w:eastAsia="bg-BG"/>
              </w:rPr>
              <w:t xml:space="preserve"> </w:t>
            </w:r>
            <w:r w:rsidR="006F0CDB" w:rsidRPr="008B68E3">
              <w:rPr>
                <w:sz w:val="28"/>
                <w:szCs w:val="28"/>
                <w:lang w:val="bg-BG" w:eastAsia="bg-BG"/>
              </w:rPr>
              <w:t>е</w:t>
            </w:r>
            <w:r w:rsidRPr="008B68E3">
              <w:rPr>
                <w:b/>
                <w:sz w:val="28"/>
                <w:szCs w:val="28"/>
                <w:lang w:val="bg-BG" w:eastAsia="bg-BG"/>
              </w:rPr>
              <w:t xml:space="preserve">вро </w:t>
            </w:r>
          </w:p>
        </w:tc>
      </w:tr>
    </w:tbl>
    <w:p w:rsidR="00357C9D" w:rsidRPr="008B68E3" w:rsidRDefault="0043384A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C82D71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 размера на таксата „Сигурност” за ВС, превозващи пътници, са включени разходи за издръжка на </w:t>
      </w:r>
      <w:r w:rsidR="009B537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независимия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надзорен орган в размер на </w:t>
      </w:r>
      <w:r w:rsidR="00357C9D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0,05 Евро за всеки заминаващ пътник.</w:t>
      </w:r>
    </w:p>
    <w:p w:rsidR="00357C9D" w:rsidRPr="008B68E3" w:rsidRDefault="0043384A" w:rsidP="00357C9D">
      <w:pPr>
        <w:spacing w:before="120" w:after="24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C82D71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Единичната таксова единица е определена за полет и е диференцирана в 2 групи (теглови диапазони) в зависимост от максималното излетно тегло на ВС, както следва: </w:t>
      </w:r>
    </w:p>
    <w:tbl>
      <w:tblPr>
        <w:tblStyle w:val="TableGrid1"/>
        <w:tblW w:w="0" w:type="auto"/>
        <w:jc w:val="center"/>
        <w:tblInd w:w="702" w:type="dxa"/>
        <w:shd w:val="clear" w:color="auto" w:fill="CCFFFF"/>
        <w:tblLook w:val="01E0" w:firstRow="1" w:lastRow="1" w:firstColumn="1" w:lastColumn="1" w:noHBand="0" w:noVBand="0"/>
      </w:tblPr>
      <w:tblGrid>
        <w:gridCol w:w="2491"/>
        <w:gridCol w:w="3146"/>
        <w:gridCol w:w="2940"/>
      </w:tblGrid>
      <w:tr w:rsidR="00357C9D" w:rsidRPr="008B68E3" w:rsidTr="00357C9D">
        <w:trPr>
          <w:trHeight w:val="338"/>
          <w:jc w:val="center"/>
        </w:trPr>
        <w:tc>
          <w:tcPr>
            <w:tcW w:w="2491" w:type="dxa"/>
            <w:vMerge w:val="restart"/>
            <w:shd w:val="clear" w:color="auto" w:fill="CCFFFF"/>
          </w:tcPr>
          <w:p w:rsidR="00357C9D" w:rsidRPr="008B68E3" w:rsidRDefault="00357C9D" w:rsidP="00357C9D">
            <w:pPr>
              <w:spacing w:before="480" w:after="120"/>
              <w:ind w:firstLine="126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Еднократно за полет</w:t>
            </w:r>
          </w:p>
        </w:tc>
        <w:tc>
          <w:tcPr>
            <w:tcW w:w="3146" w:type="dxa"/>
            <w:shd w:val="clear" w:color="auto" w:fill="CCFFFF"/>
          </w:tcPr>
          <w:p w:rsidR="00357C9D" w:rsidRPr="008B68E3" w:rsidRDefault="00357C9D" w:rsidP="00357C9D">
            <w:pPr>
              <w:spacing w:before="240" w:after="120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 xml:space="preserve">ВС с </w:t>
            </w:r>
            <w:r w:rsidRPr="008B68E3">
              <w:rPr>
                <w:sz w:val="24"/>
                <w:szCs w:val="24"/>
                <w:lang w:eastAsia="bg-BG"/>
              </w:rPr>
              <w:t>MTOW</w:t>
            </w:r>
            <w:r w:rsidRPr="008B68E3">
              <w:rPr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sz w:val="24"/>
                <w:szCs w:val="24"/>
                <w:lang w:val="bg-BG" w:eastAsia="bg-BG"/>
              </w:rPr>
              <w:t>до 6 тона</w:t>
            </w:r>
          </w:p>
        </w:tc>
        <w:tc>
          <w:tcPr>
            <w:tcW w:w="2940" w:type="dxa"/>
            <w:shd w:val="clear" w:color="auto" w:fill="CCFFFF"/>
          </w:tcPr>
          <w:p w:rsidR="00357C9D" w:rsidRPr="008B68E3" w:rsidRDefault="00357C9D" w:rsidP="00357C9D">
            <w:pPr>
              <w:spacing w:before="240" w:after="120"/>
              <w:jc w:val="center"/>
              <w:rPr>
                <w:b/>
                <w:sz w:val="28"/>
                <w:szCs w:val="28"/>
                <w:lang w:val="bg-BG" w:eastAsia="bg-BG"/>
              </w:rPr>
            </w:pPr>
            <w:r w:rsidRPr="008B68E3">
              <w:rPr>
                <w:b/>
                <w:sz w:val="28"/>
                <w:szCs w:val="28"/>
                <w:lang w:val="ru-RU" w:eastAsia="bg-BG"/>
              </w:rPr>
              <w:t>10</w:t>
            </w:r>
            <w:r w:rsidR="006F0CDB" w:rsidRPr="008B68E3">
              <w:rPr>
                <w:b/>
                <w:sz w:val="28"/>
                <w:szCs w:val="28"/>
                <w:lang w:val="bg-BG" w:eastAsia="bg-BG"/>
              </w:rPr>
              <w:t>,00 е</w:t>
            </w:r>
            <w:r w:rsidRPr="008B68E3">
              <w:rPr>
                <w:b/>
                <w:sz w:val="28"/>
                <w:szCs w:val="28"/>
                <w:lang w:val="bg-BG" w:eastAsia="bg-BG"/>
              </w:rPr>
              <w:t xml:space="preserve">вро </w:t>
            </w:r>
          </w:p>
        </w:tc>
      </w:tr>
      <w:tr w:rsidR="00357C9D" w:rsidRPr="008B68E3" w:rsidTr="00357C9D">
        <w:trPr>
          <w:trHeight w:val="337"/>
          <w:jc w:val="center"/>
        </w:trPr>
        <w:tc>
          <w:tcPr>
            <w:tcW w:w="2491" w:type="dxa"/>
            <w:vMerge/>
            <w:shd w:val="clear" w:color="auto" w:fill="CCFFFF"/>
          </w:tcPr>
          <w:p w:rsidR="00357C9D" w:rsidRPr="008B68E3" w:rsidRDefault="00357C9D" w:rsidP="00357C9D">
            <w:pPr>
              <w:spacing w:before="240" w:after="120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146" w:type="dxa"/>
            <w:shd w:val="clear" w:color="auto" w:fill="CCFFFF"/>
          </w:tcPr>
          <w:p w:rsidR="00357C9D" w:rsidRPr="008B68E3" w:rsidRDefault="00357C9D" w:rsidP="00357C9D">
            <w:pPr>
              <w:spacing w:before="240" w:after="120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 xml:space="preserve">ВС с </w:t>
            </w:r>
            <w:r w:rsidRPr="008B68E3">
              <w:rPr>
                <w:sz w:val="24"/>
                <w:szCs w:val="24"/>
                <w:lang w:eastAsia="bg-BG"/>
              </w:rPr>
              <w:t>MTOW</w:t>
            </w:r>
            <w:r w:rsidRPr="008B68E3">
              <w:rPr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sz w:val="24"/>
                <w:szCs w:val="24"/>
                <w:lang w:val="bg-BG" w:eastAsia="bg-BG"/>
              </w:rPr>
              <w:t>над 6 тона</w:t>
            </w:r>
          </w:p>
        </w:tc>
        <w:tc>
          <w:tcPr>
            <w:tcW w:w="2940" w:type="dxa"/>
            <w:shd w:val="clear" w:color="auto" w:fill="CCFFFF"/>
          </w:tcPr>
          <w:p w:rsidR="00357C9D" w:rsidRPr="008B68E3" w:rsidRDefault="00357C9D" w:rsidP="00357C9D">
            <w:pPr>
              <w:spacing w:before="240" w:after="120"/>
              <w:jc w:val="center"/>
              <w:rPr>
                <w:b/>
                <w:sz w:val="28"/>
                <w:szCs w:val="28"/>
                <w:lang w:val="ru-RU" w:eastAsia="bg-BG"/>
              </w:rPr>
            </w:pPr>
            <w:r w:rsidRPr="008B68E3">
              <w:rPr>
                <w:b/>
                <w:sz w:val="28"/>
                <w:szCs w:val="28"/>
                <w:lang w:val="ru-RU" w:eastAsia="bg-BG"/>
              </w:rPr>
              <w:t>24</w:t>
            </w:r>
            <w:r w:rsidR="006F0CDB" w:rsidRPr="008B68E3">
              <w:rPr>
                <w:b/>
                <w:sz w:val="28"/>
                <w:szCs w:val="28"/>
                <w:lang w:val="bg-BG" w:eastAsia="bg-BG"/>
              </w:rPr>
              <w:t>,00 е</w:t>
            </w:r>
            <w:r w:rsidRPr="008B68E3">
              <w:rPr>
                <w:b/>
                <w:sz w:val="28"/>
                <w:szCs w:val="28"/>
                <w:lang w:val="bg-BG" w:eastAsia="bg-BG"/>
              </w:rPr>
              <w:t>вро</w:t>
            </w:r>
          </w:p>
        </w:tc>
      </w:tr>
    </w:tbl>
    <w:p w:rsidR="00357C9D" w:rsidRPr="008B68E3" w:rsidRDefault="0043384A" w:rsidP="00357C9D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C82D71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Таксата „Сигурност” за ВС, които не превозват пътници, се прилага в еднакъв размер, независимо от дестинацията на полета (по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еждународни или по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ътрешни линии).</w:t>
      </w:r>
    </w:p>
    <w:p w:rsidR="00357C9D" w:rsidRPr="008B68E3" w:rsidRDefault="00357C9D" w:rsidP="00922B9F">
      <w:pPr>
        <w:numPr>
          <w:ilvl w:val="0"/>
          <w:numId w:val="24"/>
        </w:numPr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Такса</w:t>
      </w:r>
      <w:r w:rsidRPr="008B68E3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</w:t>
      </w:r>
      <w:r w:rsidRPr="008B68E3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шум (екологична)</w:t>
      </w:r>
    </w:p>
    <w:p w:rsidR="00357C9D" w:rsidRPr="008B68E3" w:rsidRDefault="00357C9D" w:rsidP="00357C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6.1. Таксата „Шум (екологична)” се събира за всеки тон или част от него,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кръглена към следващ тон, от максималното излетно тегло на ВС. </w:t>
      </w:r>
    </w:p>
    <w:p w:rsidR="00357C9D" w:rsidRPr="008B68E3" w:rsidRDefault="00357C9D" w:rsidP="00357C9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6.2. Таксата „Шум (екологична)” се заплаща еднократно за полет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се вземат предвид часът на кацане и часът на последващото излитане на едно и също ВС.</w:t>
      </w:r>
    </w:p>
    <w:p w:rsidR="00357C9D" w:rsidRPr="008B68E3" w:rsidRDefault="00357C9D" w:rsidP="00357C9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6.3. Единичната таксова единица е определена в диференциран размер в зависимост от индивидуалните шумови характеристики на ВС, в 5 категории по шумови сертификати и в 3 часови зони – дневна, сутрин/вечер и нощна:</w:t>
      </w:r>
    </w:p>
    <w:p w:rsidR="00357C9D" w:rsidRPr="008B68E3" w:rsidRDefault="00357C9D" w:rsidP="00357C9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Евро за тон</w:t>
      </w:r>
    </w:p>
    <w:tbl>
      <w:tblPr>
        <w:tblStyle w:val="TableGrid1"/>
        <w:tblW w:w="9360" w:type="dxa"/>
        <w:tblInd w:w="288" w:type="dxa"/>
        <w:tblLook w:val="01E0" w:firstRow="1" w:lastRow="1" w:firstColumn="1" w:lastColumn="1" w:noHBand="0" w:noVBand="0"/>
      </w:tblPr>
      <w:tblGrid>
        <w:gridCol w:w="1980"/>
        <w:gridCol w:w="1980"/>
        <w:gridCol w:w="1800"/>
        <w:gridCol w:w="1800"/>
        <w:gridCol w:w="1800"/>
      </w:tblGrid>
      <w:tr w:rsidR="00357C9D" w:rsidRPr="008B68E3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 w:after="120" w:afterAutospacing="1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  <w:p w:rsidR="00357C9D" w:rsidRPr="008B68E3" w:rsidRDefault="00357C9D" w:rsidP="00357C9D">
            <w:pPr>
              <w:spacing w:before="120" w:after="120" w:afterAutospacing="1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Час на кацане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br/>
              <w:t>(местно време)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 w:after="12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Шумова</w:t>
            </w:r>
          </w:p>
          <w:p w:rsidR="00357C9D" w:rsidRPr="008B68E3" w:rsidRDefault="00357C9D" w:rsidP="00357C9D">
            <w:pPr>
              <w:spacing w:before="120" w:after="120" w:afterAutospacing="1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категория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 w:after="12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Час на излитане (местно време)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 w:after="120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07:00-22:59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06:00-06:59</w:t>
            </w:r>
          </w:p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23:00-23:59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center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00:00-05:59</w:t>
            </w:r>
          </w:p>
        </w:tc>
      </w:tr>
      <w:tr w:rsidR="00357C9D" w:rsidRPr="008B68E3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07:00-22:59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0.1</w:t>
            </w:r>
            <w:r w:rsidRPr="008B68E3">
              <w:rPr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36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0.2</w:t>
            </w:r>
            <w:r w:rsidRPr="008B68E3">
              <w:rPr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45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59</w:t>
            </w:r>
          </w:p>
        </w:tc>
      </w:tr>
      <w:tr w:rsidR="00357C9D" w:rsidRPr="008B68E3" w:rsidTr="00357C9D">
        <w:trPr>
          <w:trHeight w:val="284"/>
        </w:trPr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4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90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5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1.</w:t>
            </w:r>
            <w:r w:rsidRPr="008B68E3">
              <w:rPr>
                <w:b/>
                <w:sz w:val="24"/>
                <w:szCs w:val="24"/>
                <w:lang w:eastAsia="bg-BG"/>
              </w:rPr>
              <w:t>35</w:t>
            </w:r>
          </w:p>
        </w:tc>
      </w:tr>
      <w:tr w:rsidR="00357C9D" w:rsidRPr="008B68E3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06:00-06:59</w:t>
            </w:r>
          </w:p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23:00-23:59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0.2</w:t>
            </w:r>
            <w:r w:rsidRPr="008B68E3">
              <w:rPr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41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2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0.2</w:t>
            </w:r>
            <w:r w:rsidRPr="008B68E3">
              <w:rPr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51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3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0.3</w:t>
            </w:r>
            <w:r w:rsidRPr="008B68E3">
              <w:rPr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66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4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eastAsia="bg-BG"/>
              </w:rPr>
              <w:t>1.01</w:t>
            </w:r>
          </w:p>
        </w:tc>
      </w:tr>
      <w:tr w:rsidR="00357C9D" w:rsidRPr="008B68E3" w:rsidTr="00357C9D">
        <w:trPr>
          <w:trHeight w:val="22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eastAsia="bg-BG"/>
              </w:rPr>
              <w:t>1.02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1.</w:t>
            </w:r>
            <w:r w:rsidRPr="008B68E3">
              <w:rPr>
                <w:b/>
                <w:sz w:val="24"/>
                <w:szCs w:val="24"/>
                <w:lang w:eastAsia="bg-BG"/>
              </w:rPr>
              <w:t>52</w:t>
            </w:r>
          </w:p>
        </w:tc>
      </w:tr>
      <w:tr w:rsidR="00357C9D" w:rsidRPr="008B68E3" w:rsidTr="00357C9D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</w:p>
          <w:p w:rsidR="00357C9D" w:rsidRPr="008B68E3" w:rsidRDefault="00357C9D" w:rsidP="00357C9D">
            <w:pPr>
              <w:spacing w:before="120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00:00-05:59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55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2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5</w:t>
            </w:r>
            <w:r w:rsidRPr="008B68E3">
              <w:rPr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68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3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88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4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0.</w:t>
            </w:r>
            <w:r w:rsidRPr="008B68E3">
              <w:rPr>
                <w:b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800" w:type="dxa"/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eastAsia="bg-BG"/>
              </w:rPr>
              <w:t>1.02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1.</w:t>
            </w:r>
            <w:r w:rsidRPr="008B68E3">
              <w:rPr>
                <w:b/>
                <w:sz w:val="24"/>
                <w:szCs w:val="24"/>
                <w:lang w:eastAsia="bg-BG"/>
              </w:rPr>
              <w:t>36</w:t>
            </w:r>
          </w:p>
        </w:tc>
      </w:tr>
      <w:tr w:rsidR="00357C9D" w:rsidRPr="008B68E3" w:rsidTr="00357C9D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CCFFFF"/>
          </w:tcPr>
          <w:p w:rsidR="00357C9D" w:rsidRPr="008B68E3" w:rsidRDefault="00357C9D" w:rsidP="00357C9D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8B68E3">
              <w:rPr>
                <w:sz w:val="24"/>
                <w:szCs w:val="24"/>
                <w:lang w:val="bg-BG" w:eastAsia="bg-BG"/>
              </w:rPr>
              <w:t>Категория 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1.</w:t>
            </w:r>
            <w:r w:rsidRPr="008B68E3">
              <w:rPr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val="bg-BG" w:eastAsia="bg-BG"/>
              </w:rPr>
              <w:t>1.</w:t>
            </w:r>
            <w:r w:rsidRPr="008B68E3">
              <w:rPr>
                <w:b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bottom"/>
          </w:tcPr>
          <w:p w:rsidR="00357C9D" w:rsidRPr="008B68E3" w:rsidRDefault="00357C9D" w:rsidP="00357C9D">
            <w:pPr>
              <w:spacing w:before="120"/>
              <w:jc w:val="center"/>
              <w:rPr>
                <w:b/>
                <w:sz w:val="24"/>
                <w:szCs w:val="24"/>
                <w:lang w:eastAsia="bg-BG"/>
              </w:rPr>
            </w:pPr>
            <w:r w:rsidRPr="008B68E3">
              <w:rPr>
                <w:b/>
                <w:sz w:val="24"/>
                <w:szCs w:val="24"/>
                <w:lang w:eastAsia="bg-BG"/>
              </w:rPr>
              <w:t>2.03</w:t>
            </w:r>
          </w:p>
        </w:tc>
      </w:tr>
    </w:tbl>
    <w:p w:rsidR="00357C9D" w:rsidRPr="008B68E3" w:rsidRDefault="00357C9D" w:rsidP="00357C9D">
      <w:pPr>
        <w:spacing w:before="120" w:beforeAutospacing="1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6.4. Самолети с максимално излетно тегло до 9 тона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сички хеликоптери не дължат такса „Шум (екологична)”.</w:t>
      </w:r>
    </w:p>
    <w:p w:rsidR="00357C9D" w:rsidRPr="008B68E3" w:rsidRDefault="006F0CDB" w:rsidP="00357C9D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6.5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Основание за отнасяне на дадено ВС към конкретна категория е индивидуалният му шумов сертификат в зависимост от кумулативната шумова граница*, както следва: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956"/>
      </w:tblGrid>
      <w:tr w:rsidR="00357C9D" w:rsidRPr="008B68E3" w:rsidTr="00357C9D">
        <w:tc>
          <w:tcPr>
            <w:tcW w:w="1042" w:type="dxa"/>
          </w:tcPr>
          <w:p w:rsidR="00357C9D" w:rsidRPr="008B68E3" w:rsidRDefault="00357C9D" w:rsidP="00357C9D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Шумова категория</w:t>
            </w:r>
          </w:p>
        </w:tc>
        <w:tc>
          <w:tcPr>
            <w:tcW w:w="7956" w:type="dxa"/>
          </w:tcPr>
          <w:p w:rsidR="00357C9D" w:rsidRPr="008B68E3" w:rsidRDefault="00357C9D" w:rsidP="00357C9D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категорията – параметри на ВС</w:t>
            </w:r>
          </w:p>
        </w:tc>
      </w:tr>
      <w:tr w:rsidR="00357C9D" w:rsidRPr="008B68E3" w:rsidTr="00357C9D">
        <w:tc>
          <w:tcPr>
            <w:tcW w:w="1042" w:type="dxa"/>
          </w:tcPr>
          <w:p w:rsidR="00357C9D" w:rsidRPr="008B68E3" w:rsidRDefault="00357C9D" w:rsidP="00357C9D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956" w:type="dxa"/>
          </w:tcPr>
          <w:p w:rsidR="00357C9D" w:rsidRPr="008B68E3" w:rsidRDefault="00357C9D" w:rsidP="00585C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ом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аст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лави 3 и 5 от Конвенцията за международно гражданско въздухоплаване, с кумулативна шумова граница 20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dB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фективно ниво на измервания шум (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 или повече.</w:t>
            </w:r>
          </w:p>
        </w:tc>
      </w:tr>
      <w:tr w:rsidR="00357C9D" w:rsidRPr="008B68E3" w:rsidTr="00357C9D">
        <w:tc>
          <w:tcPr>
            <w:tcW w:w="1042" w:type="dxa"/>
          </w:tcPr>
          <w:p w:rsidR="00357C9D" w:rsidRPr="008B68E3" w:rsidRDefault="00357C9D" w:rsidP="00357C9D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956" w:type="dxa"/>
          </w:tcPr>
          <w:p w:rsidR="00357C9D" w:rsidRPr="008B68E3" w:rsidRDefault="00357C9D" w:rsidP="00585C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ом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аст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лави 3 и 5 от Конвенцията за международно гражданско въздухоплаване, с кумулативна шумова граница от 15 до 19,9 </w:t>
            </w:r>
            <w:proofErr w:type="spellStart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357C9D" w:rsidRPr="008B68E3" w:rsidTr="00357C9D">
        <w:tc>
          <w:tcPr>
            <w:tcW w:w="1042" w:type="dxa"/>
          </w:tcPr>
          <w:p w:rsidR="00357C9D" w:rsidRPr="008B68E3" w:rsidRDefault="00357C9D" w:rsidP="00357C9D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956" w:type="dxa"/>
          </w:tcPr>
          <w:p w:rsidR="00357C9D" w:rsidRPr="008B68E3" w:rsidRDefault="00357C9D" w:rsidP="00585C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ом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аст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лави 3 и 5 от Конвенцията за международно гражданско въздухоплаване, с кумулативна шумова граница от 10 до 14,9 </w:t>
            </w:r>
            <w:proofErr w:type="spellStart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357C9D" w:rsidRPr="008B68E3" w:rsidTr="00357C9D">
        <w:tc>
          <w:tcPr>
            <w:tcW w:w="1042" w:type="dxa"/>
          </w:tcPr>
          <w:p w:rsidR="00357C9D" w:rsidRPr="008B68E3" w:rsidRDefault="00357C9D" w:rsidP="00357C9D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956" w:type="dxa"/>
          </w:tcPr>
          <w:p w:rsidR="00357C9D" w:rsidRPr="008B68E3" w:rsidRDefault="00357C9D" w:rsidP="00585C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ом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аст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лави 3 и 5 от Конвенцията за международно гражданско въздухоплаване, с кумулативна шумова граница от 5 до 9,9 </w:t>
            </w:r>
            <w:proofErr w:type="spellStart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357C9D" w:rsidRPr="008B68E3" w:rsidTr="00357C9D">
        <w:tc>
          <w:tcPr>
            <w:tcW w:w="1042" w:type="dxa"/>
          </w:tcPr>
          <w:p w:rsidR="00357C9D" w:rsidRPr="008B68E3" w:rsidRDefault="00357C9D" w:rsidP="00357C9D">
            <w:pPr>
              <w:spacing w:before="12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956" w:type="dxa"/>
          </w:tcPr>
          <w:p w:rsidR="00357C9D" w:rsidRPr="008B68E3" w:rsidRDefault="00357C9D" w:rsidP="00DE24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Самолети с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Анекс 16,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ом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аст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585C53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лави 3 и 5 от Конвенцията за международно гражданско въздухоплаване, с кумулативна шумова граница 4,9 </w:t>
            </w:r>
            <w:proofErr w:type="spellStart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EPNdB</w:t>
            </w:r>
            <w:proofErr w:type="spellEnd"/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или по-малко, самолети с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сертифицирани в съответствие с </w:t>
            </w:r>
            <w:r w:rsidR="00DE2417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лава 2, които не отговарят на изискванията на Анекс 16, </w:t>
            </w:r>
            <w:r w:rsidR="00DE2417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ом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DE2417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аст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="00DE2417"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лави 3 и 5 от Конвенцията за международно гражданско въздухоплаване и самолети с 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MTOW</w:t>
            </w: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над 9 тона, за които не е представен сертификат за шум.</w:t>
            </w:r>
          </w:p>
        </w:tc>
      </w:tr>
    </w:tbl>
    <w:p w:rsidR="00357C9D" w:rsidRPr="008B68E3" w:rsidRDefault="00357C9D" w:rsidP="00357C9D">
      <w:pPr>
        <w:spacing w:after="24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*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Кумулативна шумова граница – стойността получена от сбора на разликите между максимално разрешените нива на шума за дадено ВС и нивата на шума, показани в шумовия му сертификат при направените измервания в трите контролни точки (встрани от ПИК, при заход за кацане и при излитане). Максимално разрешените нива на шума за дадено ВС и контролните точки за измерване на шума са дефинирани в Анекс 16,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ом 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585C5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аст </w:t>
      </w: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II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Конвенцията за международно гражданско въздухоплаване.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§ </w:t>
      </w:r>
      <w:r w:rsidR="00357C9D" w:rsidRPr="008B68E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</w:t>
      </w:r>
      <w:r w:rsidRPr="008B68E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Приложение № 3 към чл. 11, ал. 1, чл. 13, ал. 2 и 3, чл. 16, ал. 2 се изменя така: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„Такси на летище Пловдив и летище Горна Оряховица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Такса за кацане съгласно чл. 11, ал. 1</w:t>
      </w:r>
    </w:p>
    <w:p w:rsidR="00887DDF" w:rsidRPr="008B68E3" w:rsidRDefault="00887DDF" w:rsidP="00887DDF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CellSpacing w:w="0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2229"/>
        <w:gridCol w:w="2322"/>
        <w:gridCol w:w="2322"/>
        <w:gridCol w:w="2322"/>
        <w:gridCol w:w="75"/>
      </w:tblGrid>
      <w:tr w:rsidR="00887DDF" w:rsidRPr="008B68E3" w:rsidTr="00357C9D">
        <w:trPr>
          <w:gridBefore w:val="1"/>
          <w:wBefore w:w="93" w:type="dxa"/>
          <w:tblCellSpacing w:w="0" w:type="dxa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87DDF" w:rsidRPr="008B68E3" w:rsidRDefault="00887DDF" w:rsidP="00887DDF">
            <w:pPr>
              <w:numPr>
                <w:ilvl w:val="1"/>
                <w:numId w:val="22"/>
              </w:num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на таксата за кацане</w:t>
            </w:r>
          </w:p>
          <w:p w:rsidR="00887DDF" w:rsidRPr="008B68E3" w:rsidRDefault="00887DDF" w:rsidP="00887DDF">
            <w:pPr>
              <w:spacing w:after="0" w:line="240" w:lineRule="auto"/>
              <w:ind w:left="360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68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(Размерът на таксите е в евро)</w:t>
            </w:r>
          </w:p>
        </w:tc>
      </w:tr>
      <w:tr w:rsidR="00887DDF" w:rsidRPr="008B68E3" w:rsidTr="00357C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dxa"/>
        </w:trPr>
        <w:tc>
          <w:tcPr>
            <w:tcW w:w="2322" w:type="dxa"/>
            <w:gridSpan w:val="2"/>
          </w:tcPr>
          <w:p w:rsidR="00887DDF" w:rsidRPr="008B68E3" w:rsidRDefault="00887DDF" w:rsidP="00887DDF">
            <w:pPr>
              <w:spacing w:after="0" w:line="240" w:lineRule="auto"/>
              <w:jc w:val="both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Въздухоплавателно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средство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изпълняващо</w:t>
            </w:r>
            <w:proofErr w:type="spellEnd"/>
          </w:p>
          <w:p w:rsidR="00887DDF" w:rsidRPr="008B68E3" w:rsidRDefault="00887DDF" w:rsidP="00887DDF">
            <w:pPr>
              <w:spacing w:after="0" w:line="240" w:lineRule="auto"/>
              <w:jc w:val="both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учебно-тренировъчен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полет</w:t>
            </w:r>
            <w:proofErr w:type="spellEnd"/>
          </w:p>
        </w:tc>
        <w:tc>
          <w:tcPr>
            <w:tcW w:w="2322" w:type="dxa"/>
          </w:tcPr>
          <w:p w:rsidR="00887DDF" w:rsidRPr="008B68E3" w:rsidRDefault="00887DDF" w:rsidP="00887DDF">
            <w:pPr>
              <w:spacing w:after="0" w:line="240" w:lineRule="auto"/>
              <w:jc w:val="both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Въздухоплавателно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средство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общо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предназначение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максимално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излетно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тегло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5,7 t</w:t>
            </w:r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вкл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887DDF" w:rsidRPr="008B68E3" w:rsidRDefault="00887DDF" w:rsidP="00887DDF">
            <w:pPr>
              <w:spacing w:after="0" w:line="240" w:lineRule="auto"/>
              <w:jc w:val="both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Въздухоплавателно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средство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с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максимално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излетно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тегло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над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5,7 t,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изпълняващо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пътнически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или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смесени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пътнически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товарни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полети</w:t>
            </w:r>
            <w:proofErr w:type="spellEnd"/>
          </w:p>
        </w:tc>
        <w:tc>
          <w:tcPr>
            <w:tcW w:w="2322" w:type="dxa"/>
          </w:tcPr>
          <w:p w:rsidR="00887DDF" w:rsidRPr="008B68E3" w:rsidRDefault="00887DDF" w:rsidP="00887DDF">
            <w:pPr>
              <w:spacing w:after="0" w:line="240" w:lineRule="auto"/>
              <w:jc w:val="both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Въздухоплавателно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средство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с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максимално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излетно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тегло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над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5,7 t,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изпълняващо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товарни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полети</w:t>
            </w:r>
            <w:proofErr w:type="spellEnd"/>
          </w:p>
        </w:tc>
      </w:tr>
      <w:tr w:rsidR="00887DDF" w:rsidRPr="008B68E3" w:rsidTr="00357C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dxa"/>
        </w:trPr>
        <w:tc>
          <w:tcPr>
            <w:tcW w:w="2322" w:type="dxa"/>
            <w:gridSpan w:val="2"/>
          </w:tcPr>
          <w:p w:rsidR="00887DDF" w:rsidRPr="008B68E3" w:rsidRDefault="00887DDF" w:rsidP="00887DDF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5.00 /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кацане</w:t>
            </w:r>
            <w:proofErr w:type="spellEnd"/>
          </w:p>
        </w:tc>
        <w:tc>
          <w:tcPr>
            <w:tcW w:w="2322" w:type="dxa"/>
          </w:tcPr>
          <w:p w:rsidR="00887DDF" w:rsidRPr="008B68E3" w:rsidRDefault="00887DDF" w:rsidP="00887DDF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25.00 /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кацане</w:t>
            </w:r>
            <w:proofErr w:type="spellEnd"/>
          </w:p>
        </w:tc>
        <w:tc>
          <w:tcPr>
            <w:tcW w:w="2322" w:type="dxa"/>
          </w:tcPr>
          <w:p w:rsidR="00887DDF" w:rsidRPr="008B68E3" w:rsidRDefault="00887DDF" w:rsidP="00887DDF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5.00 /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тон</w:t>
            </w:r>
            <w:proofErr w:type="spellEnd"/>
          </w:p>
        </w:tc>
        <w:tc>
          <w:tcPr>
            <w:tcW w:w="2322" w:type="dxa"/>
          </w:tcPr>
          <w:p w:rsidR="00887DDF" w:rsidRPr="008B68E3" w:rsidRDefault="00887DDF" w:rsidP="00887DDF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3.50 /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тон</w:t>
            </w:r>
            <w:proofErr w:type="spellEnd"/>
          </w:p>
        </w:tc>
      </w:tr>
    </w:tbl>
    <w:p w:rsidR="00887DDF" w:rsidRPr="008B68E3" w:rsidRDefault="00887DDF" w:rsidP="00887D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 Отстъпки от таксата за кацане за стимулиране на трафика 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цел стимулиране обема на трафика, в зависимост от месечния брой кацания на един оператор, с въздухоплавателни средства с максимална излетна маса над 5.7 t се прилагат следните отстъпки: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Размер на таксата за кацане с отстъпки, свързани с размера на трафика</w:t>
      </w:r>
    </w:p>
    <w:p w:rsidR="00887DDF" w:rsidRPr="008B68E3" w:rsidRDefault="00887DDF" w:rsidP="00887DD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(Размерът на таксите е в евро)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657"/>
        <w:gridCol w:w="2324"/>
        <w:gridCol w:w="1896"/>
      </w:tblGrid>
      <w:tr w:rsidR="00887DDF" w:rsidRPr="008B68E3" w:rsidTr="00357C9D">
        <w:trPr>
          <w:jc w:val="center"/>
        </w:trPr>
        <w:tc>
          <w:tcPr>
            <w:tcW w:w="3357" w:type="dxa"/>
            <w:gridSpan w:val="2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Месечен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брой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кацания</w:t>
            </w:r>
            <w:proofErr w:type="spellEnd"/>
          </w:p>
        </w:tc>
        <w:tc>
          <w:tcPr>
            <w:tcW w:w="2324" w:type="dxa"/>
            <w:vMerge w:val="restart"/>
          </w:tcPr>
          <w:p w:rsidR="00887DDF" w:rsidRPr="008B68E3" w:rsidRDefault="00887DDF" w:rsidP="00887DDF">
            <w:pPr>
              <w:spacing w:after="0" w:line="240" w:lineRule="auto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Въздухоплавателно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средство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с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максимално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излетно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тегло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над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5,7 t.,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изпълняващо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пътнически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или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смесени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пътнически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товарни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полети</w:t>
            </w:r>
            <w:proofErr w:type="spellEnd"/>
          </w:p>
        </w:tc>
        <w:tc>
          <w:tcPr>
            <w:tcW w:w="1896" w:type="dxa"/>
            <w:vMerge w:val="restart"/>
          </w:tcPr>
          <w:p w:rsidR="00887DDF" w:rsidRPr="008B68E3" w:rsidRDefault="00887DDF" w:rsidP="00887DDF">
            <w:pPr>
              <w:spacing w:after="0" w:line="240" w:lineRule="auto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Въздухоплавателно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средство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с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максимално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излетно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тегло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над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5,7 t.,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изпълняващо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товарни</w:t>
            </w:r>
            <w:proofErr w:type="spellEnd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" w:hAnsi="Timok TT" w:cs="Times New Roman"/>
                <w:bCs/>
                <w:color w:val="000000"/>
                <w:sz w:val="20"/>
                <w:szCs w:val="20"/>
              </w:rPr>
              <w:t>полети</w:t>
            </w:r>
            <w:proofErr w:type="spellEnd"/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от</w:t>
            </w:r>
            <w:proofErr w:type="spellEnd"/>
          </w:p>
        </w:tc>
        <w:tc>
          <w:tcPr>
            <w:tcW w:w="1657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2324" w:type="dxa"/>
            <w:vMerge/>
            <w:vAlign w:val="bottom"/>
          </w:tcPr>
          <w:p w:rsidR="00887DDF" w:rsidRPr="008B68E3" w:rsidRDefault="00887DDF" w:rsidP="00887DDF">
            <w:pPr>
              <w:spacing w:after="0" w:line="240" w:lineRule="auto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887DDF" w:rsidRPr="008B68E3" w:rsidRDefault="00887DDF" w:rsidP="00887DDF">
            <w:pPr>
              <w:spacing w:after="0" w:line="240" w:lineRule="auto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4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4.50 /t</w:t>
            </w:r>
          </w:p>
        </w:tc>
        <w:tc>
          <w:tcPr>
            <w:tcW w:w="1896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3.15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24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4.00 /t</w:t>
            </w:r>
          </w:p>
        </w:tc>
        <w:tc>
          <w:tcPr>
            <w:tcW w:w="1896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2.80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7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24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3.50 /t</w:t>
            </w:r>
          </w:p>
        </w:tc>
        <w:tc>
          <w:tcPr>
            <w:tcW w:w="1896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2.45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3.00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2.10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2.70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1.90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2.45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1.70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2.25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1.60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2.05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1.45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1.90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1.35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1.75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1.25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1.65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1.15 /t</w:t>
            </w:r>
          </w:p>
        </w:tc>
      </w:tr>
      <w:tr w:rsidR="00887DDF" w:rsidRPr="008B68E3" w:rsidTr="00357C9D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62+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1.55 /t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1.10 /t</w:t>
            </w:r>
          </w:p>
        </w:tc>
      </w:tr>
    </w:tbl>
    <w:p w:rsidR="00887DDF" w:rsidRPr="008B68E3" w:rsidRDefault="00887DDF" w:rsidP="00887D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2.1. Размерът на таксата за паркинг над безплатния престой съгласно чл. 10, ал. 4, т. 11 е равен на 20 на сто от размера на приложимата такса за кацане с отчитане на месечните отстъпки по  т.1.2. за всеки интервал от време, равен на 24 часа, или за част от него.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2.2. Размерът на таксата за базиране (постоянно и временно) на летищата за едно денонощие е равен на 5 на сто от размера на таксата за кацане за всеки интервал от време, равен на 24 часа, или за част от него.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Такса за обслужване на пътници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Размерът на таксата за обслужване на пътници, заплащана от превозвача, е равен на: 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Шест евро за заминаващ пътник. 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3.2. Деца до 2 години не заплащат таксата.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3.3. Стимули за пътникооборот. 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зависимост от месечния брой заминаващи пътници, превозени от един оператор с въздухоплавателни средства с максимална излетна маса над 5.7 t се прилагат следните отстъпки</w:t>
      </w:r>
    </w:p>
    <w:p w:rsidR="00887DDF" w:rsidRPr="008B68E3" w:rsidRDefault="00887DDF" w:rsidP="00887DD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Стимули за прилагане на таксата за пътници</w:t>
      </w:r>
    </w:p>
    <w:p w:rsidR="00887DDF" w:rsidRPr="008B68E3" w:rsidRDefault="00887DDF" w:rsidP="00887DD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(Плащанията са  в евро)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</w:tblGrid>
      <w:tr w:rsidR="00887DDF" w:rsidRPr="008B68E3" w:rsidTr="00357C9D">
        <w:trPr>
          <w:jc w:val="center"/>
        </w:trPr>
        <w:tc>
          <w:tcPr>
            <w:tcW w:w="4606" w:type="dxa"/>
            <w:gridSpan w:val="2"/>
          </w:tcPr>
          <w:p w:rsidR="00887DDF" w:rsidRPr="008B68E3" w:rsidRDefault="00887DDF" w:rsidP="00887DDF">
            <w:pPr>
              <w:spacing w:after="0" w:line="240" w:lineRule="auto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Месечен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брой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заминаващи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пътници</w:t>
            </w:r>
            <w:proofErr w:type="spellEnd"/>
          </w:p>
        </w:tc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Пътник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над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.</w:t>
            </w:r>
          </w:p>
          <w:p w:rsidR="00887DDF" w:rsidRPr="008B68E3" w:rsidRDefault="00887DDF" w:rsidP="00887DDF">
            <w:pPr>
              <w:spacing w:after="0" w:line="240" w:lineRule="auto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от</w:t>
            </w:r>
            <w:proofErr w:type="spellEnd"/>
          </w:p>
        </w:tc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proofErr w:type="spellStart"/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2 499</w:t>
            </w:r>
          </w:p>
        </w:tc>
        <w:tc>
          <w:tcPr>
            <w:tcW w:w="2303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4.50 €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2 999</w:t>
            </w:r>
          </w:p>
        </w:tc>
        <w:tc>
          <w:tcPr>
            <w:tcW w:w="2303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4.00 €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3 499</w:t>
            </w:r>
          </w:p>
        </w:tc>
        <w:tc>
          <w:tcPr>
            <w:tcW w:w="2303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3.70 €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2303" w:type="dxa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3 999</w:t>
            </w:r>
          </w:p>
        </w:tc>
        <w:tc>
          <w:tcPr>
            <w:tcW w:w="2303" w:type="dxa"/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3.20 €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4 499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2.80 €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4 999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2.60 €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5 499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2.40 €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5 999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2.20 €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6 499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2.10 €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6 999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2.00 €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7 499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1.90 €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8 499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1.80 €</w:t>
            </w:r>
          </w:p>
        </w:tc>
      </w:tr>
      <w:tr w:rsidR="00887DDF" w:rsidRPr="008B68E3" w:rsidTr="00357C9D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8 500+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DDF" w:rsidRPr="008B68E3" w:rsidRDefault="00887DDF" w:rsidP="00887DDF">
            <w:pPr>
              <w:spacing w:after="0" w:line="240" w:lineRule="auto"/>
              <w:jc w:val="center"/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</w:pPr>
            <w:r w:rsidRPr="008B68E3">
              <w:rPr>
                <w:rFonts w:ascii="Timok TT" w:eastAsia="Times New Roman" w:hAnsi="Timok TT" w:cs="Times New Roman"/>
                <w:color w:val="000000"/>
                <w:sz w:val="20"/>
                <w:szCs w:val="20"/>
              </w:rPr>
              <w:t>1.70 €</w:t>
            </w:r>
          </w:p>
        </w:tc>
      </w:tr>
    </w:tbl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Такса за сигурност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4.1. Размерът на таксата за сигурност, заплащана от превозвача  е 1,50 евро за всеки заминаващ пътник. 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4.2. Размерът на таксата за сигурност за полети, извършващи превоз само на товари е1,00 евро на тон максимално излетно тегло на въздухоплавателното средство. 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Такса за шум (екологична) 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(Размерът на таксите е в евро)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 Размерът на таксата за шум (екологична) е 0,15 евро на тон максимално излетно тегло за всички видове въздухоплавателни средства.“</w:t>
      </w:r>
    </w:p>
    <w:p w:rsidR="00887DDF" w:rsidRPr="008B68E3" w:rsidRDefault="00887DDF" w:rsidP="00887DD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7657" w:rsidRPr="008B68E3" w:rsidRDefault="00887DDF" w:rsidP="008B765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="00357C9D"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8B7657" w:rsidRPr="008B6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Преходните</w:t>
      </w:r>
      <w:proofErr w:type="spellEnd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заключителните</w:t>
      </w:r>
      <w:proofErr w:type="spellEnd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разпоредби</w:t>
      </w:r>
      <w:proofErr w:type="spellEnd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</w:t>
      </w:r>
      <w:proofErr w:type="spellEnd"/>
      <w:r w:rsidR="008B7657"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§ 10:</w:t>
      </w:r>
    </w:p>
    <w:p w:rsidR="008B7657" w:rsidRPr="008B68E3" w:rsidRDefault="008B7657" w:rsidP="008B765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„§ 10.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Възникналите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правоотношения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начисляването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паркинг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базиране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летището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трафик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милиона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превозени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пътници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летищния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най-голям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пътнически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30.11.2012 г.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уреждат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14,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2, 3 и 4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влизане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първото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122к,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B6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ЗГВ.” </w:t>
      </w:r>
      <w:r w:rsidR="00887DD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B7657" w:rsidRPr="008B68E3" w:rsidRDefault="008B7657" w:rsidP="00357C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8E3" w:rsidRPr="008B68E3" w:rsidRDefault="008B7657" w:rsidP="00357C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8B68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87DD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Постановлението влиза в сила от деня на обнародването му в „Държавен вестник“ с изключение на</w:t>
      </w:r>
      <w:r w:rsidR="008B68E3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887DD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B68E3" w:rsidRPr="008B68E3" w:rsidRDefault="008B68E3" w:rsidP="00357C9D">
      <w:pPr>
        <w:spacing w:after="0" w:line="240" w:lineRule="auto"/>
        <w:ind w:firstLine="720"/>
        <w:jc w:val="both"/>
        <w:outlineLvl w:val="0"/>
        <w:rPr>
          <w:rFonts w:ascii="Times New Roman" w:eastAsia="Times" w:hAnsi="Times New Roman" w:cs="Times New Roman"/>
          <w:sz w:val="24"/>
          <w:szCs w:val="24"/>
          <w:lang w:val="bg-BG"/>
        </w:rPr>
      </w:pP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="00887DDF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§ 3 и § 4, които влизат в сила </w:t>
      </w:r>
      <w:r w:rsidR="00887DDF" w:rsidRPr="008B68E3">
        <w:rPr>
          <w:rFonts w:ascii="Times New Roman" w:eastAsia="Times" w:hAnsi="Times New Roman" w:cs="Times New Roman"/>
          <w:sz w:val="24"/>
          <w:szCs w:val="24"/>
          <w:lang w:val="bg-BG"/>
        </w:rPr>
        <w:t>от 1 януари 2014 г.</w:t>
      </w: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>;</w:t>
      </w:r>
      <w:r w:rsidR="00403D63"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 </w:t>
      </w:r>
    </w:p>
    <w:p w:rsidR="008B68E3" w:rsidRPr="008B68E3" w:rsidRDefault="008B68E3" w:rsidP="00357C9D">
      <w:pPr>
        <w:spacing w:after="0" w:line="240" w:lineRule="auto"/>
        <w:ind w:firstLine="720"/>
        <w:jc w:val="both"/>
        <w:outlineLvl w:val="0"/>
        <w:rPr>
          <w:rFonts w:ascii="Times New Roman" w:eastAsia="Times" w:hAnsi="Times New Roman" w:cs="Times New Roman"/>
          <w:sz w:val="24"/>
          <w:szCs w:val="24"/>
          <w:lang w:val="bg-BG"/>
        </w:rPr>
      </w:pP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2. </w:t>
      </w:r>
      <w:r w:rsidR="00403D63"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§ 5, който влиза в сила от </w:t>
      </w: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1 юли </w:t>
      </w:r>
      <w:r w:rsidR="006E7937" w:rsidRPr="008B68E3">
        <w:rPr>
          <w:rFonts w:ascii="Times New Roman" w:eastAsia="Times" w:hAnsi="Times New Roman" w:cs="Times New Roman"/>
          <w:sz w:val="24"/>
          <w:szCs w:val="24"/>
          <w:lang w:val="bg-BG"/>
        </w:rPr>
        <w:t>2013</w:t>
      </w:r>
      <w:r w:rsidRPr="008B68E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E7937" w:rsidRPr="008B68E3">
        <w:rPr>
          <w:rFonts w:ascii="Times New Roman" w:eastAsia="Times" w:hAnsi="Times New Roman" w:cs="Times New Roman"/>
          <w:sz w:val="24"/>
          <w:szCs w:val="24"/>
          <w:lang w:val="bg-BG"/>
        </w:rPr>
        <w:t>г</w:t>
      </w: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>.</w:t>
      </w:r>
      <w:r w:rsidR="006E7937"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 </w:t>
      </w:r>
      <w:r w:rsidR="00403D63"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и </w:t>
      </w: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>се прилага до 30 юни 2014 г.;</w:t>
      </w:r>
    </w:p>
    <w:p w:rsidR="00357C9D" w:rsidRPr="008B68E3" w:rsidRDefault="008B68E3" w:rsidP="00357C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3. </w:t>
      </w:r>
      <w:r w:rsidR="00403D63" w:rsidRPr="008B68E3">
        <w:rPr>
          <w:rFonts w:ascii="Times New Roman" w:eastAsia="Times" w:hAnsi="Times New Roman" w:cs="Times New Roman"/>
          <w:sz w:val="24"/>
          <w:szCs w:val="24"/>
          <w:lang w:val="bg-BG"/>
        </w:rPr>
        <w:t xml:space="preserve">§ 6, който </w:t>
      </w:r>
      <w:proofErr w:type="spellStart"/>
      <w:r w:rsidR="00357C9D" w:rsidRPr="008B68E3">
        <w:rPr>
          <w:rFonts w:ascii="Times New Roman" w:eastAsia="Times" w:hAnsi="Times New Roman" w:cs="Times New Roman"/>
          <w:sz w:val="24"/>
          <w:szCs w:val="24"/>
          <w:lang w:val="ru-RU"/>
        </w:rPr>
        <w:t>влиза</w:t>
      </w:r>
      <w:proofErr w:type="spellEnd"/>
      <w:r w:rsidR="00357C9D" w:rsidRPr="008B68E3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в сила от </w:t>
      </w:r>
      <w:r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 юли </w:t>
      </w:r>
      <w:r w:rsidR="00357C9D" w:rsidRPr="008B68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2014 г.</w:t>
      </w:r>
    </w:p>
    <w:p w:rsidR="00357C9D" w:rsidRPr="008B68E3" w:rsidRDefault="00357C9D" w:rsidP="00357C9D">
      <w:pPr>
        <w:spacing w:after="0" w:line="180" w:lineRule="atLeast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7C9D" w:rsidRPr="008B68E3" w:rsidRDefault="00357C9D" w:rsidP="00887DDF">
      <w:pPr>
        <w:spacing w:after="0" w:line="240" w:lineRule="auto"/>
        <w:ind w:firstLine="720"/>
        <w:jc w:val="both"/>
        <w:outlineLvl w:val="0"/>
        <w:rPr>
          <w:rFonts w:ascii="Times New Roman" w:eastAsia="Times" w:hAnsi="Times New Roman" w:cs="Times New Roman"/>
          <w:b/>
          <w:sz w:val="24"/>
          <w:szCs w:val="24"/>
          <w:lang w:val="ru-RU"/>
        </w:rPr>
      </w:pP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 xml:space="preserve">МИНИСТЪР-ПРЕДСЕДАТЕЛ: 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  <w:t>(</w:t>
      </w:r>
      <w:proofErr w:type="spellStart"/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>Пламен</w:t>
      </w:r>
      <w:proofErr w:type="spellEnd"/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>Орешарски</w:t>
      </w:r>
      <w:proofErr w:type="spellEnd"/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>ГЛАВЕН СЕКРЕТАР НА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 xml:space="preserve">МИНИСТЕРСКИЯ СЪВЕТ: </w:t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  <w:t xml:space="preserve">(Нина </w:t>
      </w:r>
      <w:proofErr w:type="spellStart"/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>Ставрева</w:t>
      </w:r>
      <w:proofErr w:type="spellEnd"/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>)</w:t>
      </w: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ab/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  <w:r w:rsidRPr="008B68E3"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/>
        </w:rPr>
      </w:pP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lang w:val="ru-RU"/>
        </w:rPr>
      </w:pP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>Иван Марков</w:t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proofErr w:type="spellStart"/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>Жанина</w:t>
      </w:r>
      <w:proofErr w:type="spellEnd"/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 xml:space="preserve"> Жилева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lang w:val="ru-RU"/>
        </w:rPr>
      </w:pP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Главен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секретар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на </w:t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Главен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секретар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на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lang w:val="ru-RU"/>
        </w:rPr>
      </w:pP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Министерството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на транспорта,</w:t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Министерството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на 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финансите</w:t>
      </w:r>
      <w:proofErr w:type="spellEnd"/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lang w:val="ru-RU"/>
        </w:rPr>
      </w:pP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информационните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технологии и 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съобщенията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</w:t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lang w:val="ru-RU"/>
        </w:rPr>
      </w:pPr>
      <w:r w:rsidRPr="008B68E3">
        <w:rPr>
          <w:rFonts w:ascii="Times New Roman" w:eastAsia="Times" w:hAnsi="Times New Roman" w:cs="Times New Roman"/>
          <w:color w:val="000000"/>
          <w:lang w:val="ru-RU"/>
        </w:rPr>
        <w:tab/>
        <w:t xml:space="preserve"> 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lang w:val="ru-RU"/>
        </w:rPr>
      </w:pPr>
      <w:proofErr w:type="spellStart"/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>Красимира</w:t>
      </w:r>
      <w:proofErr w:type="spellEnd"/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 xml:space="preserve"> Стоянова</w:t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ab/>
        <w:t xml:space="preserve">Диана </w:t>
      </w:r>
      <w:proofErr w:type="spellStart"/>
      <w:r w:rsidRPr="008B68E3">
        <w:rPr>
          <w:rFonts w:ascii="Times New Roman" w:eastAsia="Times" w:hAnsi="Times New Roman" w:cs="Times New Roman"/>
          <w:b/>
          <w:color w:val="000000"/>
          <w:lang w:val="ru-RU"/>
        </w:rPr>
        <w:t>Драгнева</w:t>
      </w:r>
      <w:proofErr w:type="spellEnd"/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lang w:val="ru-RU"/>
        </w:rPr>
      </w:pPr>
      <w:r w:rsidRPr="008B68E3">
        <w:rPr>
          <w:rFonts w:ascii="Times New Roman" w:eastAsia="Times" w:hAnsi="Times New Roman" w:cs="Times New Roman"/>
          <w:color w:val="000000"/>
          <w:lang w:val="ru-RU"/>
        </w:rPr>
        <w:t>Директор на дирекция „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Правна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bg-BG"/>
        </w:rPr>
        <w:t>”</w:t>
      </w:r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в</w:t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  <w:t xml:space="preserve">Директор на дирекция </w:t>
      </w:r>
    </w:p>
    <w:p w:rsidR="00887DDF" w:rsidRPr="008B68E3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lang w:val="ru-RU"/>
        </w:rPr>
      </w:pP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Министерството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на транспорта,</w:t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  <w:t>„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Държавно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юрисконсултство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>” в</w:t>
      </w:r>
    </w:p>
    <w:p w:rsidR="00887DDF" w:rsidRPr="00887DDF" w:rsidRDefault="00887DDF" w:rsidP="00887DD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lang w:val="ru-RU"/>
        </w:rPr>
      </w:pP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информационните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технологии и 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съобщенията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r w:rsidRPr="008B68E3">
        <w:rPr>
          <w:rFonts w:ascii="Times New Roman" w:eastAsia="Times" w:hAnsi="Times New Roman" w:cs="Times New Roman"/>
          <w:color w:val="000000"/>
          <w:lang w:val="ru-RU"/>
        </w:rPr>
        <w:tab/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Министерството</w:t>
      </w:r>
      <w:proofErr w:type="spellEnd"/>
      <w:r w:rsidRPr="008B68E3">
        <w:rPr>
          <w:rFonts w:ascii="Times New Roman" w:eastAsia="Times" w:hAnsi="Times New Roman" w:cs="Times New Roman"/>
          <w:color w:val="000000"/>
          <w:lang w:val="ru-RU"/>
        </w:rPr>
        <w:t xml:space="preserve"> на </w:t>
      </w:r>
      <w:proofErr w:type="spellStart"/>
      <w:r w:rsidRPr="008B68E3">
        <w:rPr>
          <w:rFonts w:ascii="Times New Roman" w:eastAsia="Times" w:hAnsi="Times New Roman" w:cs="Times New Roman"/>
          <w:color w:val="000000"/>
          <w:lang w:val="ru-RU"/>
        </w:rPr>
        <w:t>финансите</w:t>
      </w:r>
      <w:proofErr w:type="spellEnd"/>
    </w:p>
    <w:p w:rsidR="00887DDF" w:rsidRPr="00887DDF" w:rsidRDefault="00887DDF" w:rsidP="00887DDF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  <w:r w:rsidRPr="00887DDF">
        <w:rPr>
          <w:rFonts w:ascii="Times New Roman" w:eastAsia="Times" w:hAnsi="Times New Roman" w:cs="Times New Roman"/>
          <w:color w:val="000000"/>
          <w:lang w:val="ru-RU"/>
        </w:rPr>
        <w:tab/>
      </w:r>
      <w:r w:rsidRPr="00887DDF">
        <w:rPr>
          <w:rFonts w:ascii="Times New Roman" w:eastAsia="Times" w:hAnsi="Times New Roman" w:cs="Times New Roman"/>
          <w:color w:val="000000"/>
          <w:lang w:val="ru-RU"/>
        </w:rPr>
        <w:tab/>
      </w:r>
      <w:r w:rsidRPr="00887DDF">
        <w:rPr>
          <w:rFonts w:ascii="Times New Roman" w:eastAsia="Times" w:hAnsi="Times New Roman" w:cs="Times New Roman"/>
          <w:color w:val="000000"/>
          <w:lang w:val="ru-RU"/>
        </w:rPr>
        <w:tab/>
      </w:r>
      <w:r w:rsidRPr="00887DDF">
        <w:rPr>
          <w:rFonts w:ascii="Times New Roman" w:eastAsia="Times" w:hAnsi="Times New Roman" w:cs="Times New Roman"/>
          <w:color w:val="000000"/>
          <w:lang w:val="ru-RU"/>
        </w:rPr>
        <w:tab/>
      </w:r>
    </w:p>
    <w:p w:rsidR="00E72BDA" w:rsidRDefault="00E72BDA"/>
    <w:sectPr w:rsidR="00E72BDA" w:rsidSect="00D612CC">
      <w:footerReference w:type="even" r:id="rId27"/>
      <w:footerReference w:type="default" r:id="rId28"/>
      <w:pgSz w:w="11899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A8" w:rsidRDefault="00A165A8">
      <w:pPr>
        <w:spacing w:after="0" w:line="240" w:lineRule="auto"/>
      </w:pPr>
      <w:r>
        <w:separator/>
      </w:r>
    </w:p>
  </w:endnote>
  <w:endnote w:type="continuationSeparator" w:id="0">
    <w:p w:rsidR="00A165A8" w:rsidRDefault="00A1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Бастион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Латински">
    <w:altName w:val="Times New Roman"/>
    <w:charset w:val="59"/>
    <w:family w:val="auto"/>
    <w:pitch w:val="variable"/>
    <w:sig w:usb0="00000000" w:usb1="00000000" w:usb2="00000000" w:usb3="00000000" w:csb0="00000004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 TT">
    <w:altName w:val="Times New Roman"/>
    <w:panose1 w:val="00000000000000000000"/>
    <w:charset w:val="5E"/>
    <w:family w:val="roman"/>
    <w:notTrueType/>
    <w:pitch w:val="default"/>
    <w:sig w:usb0="01F2C350" w:usb1="01FAF92C" w:usb2="00000016" w:usb3="04BBFF64" w:csb0="0000001E" w:csb1="04BBFFE8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9F" w:rsidRDefault="00922B9F" w:rsidP="00357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9F" w:rsidRDefault="00922B9F" w:rsidP="00357C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9F" w:rsidRDefault="00922B9F" w:rsidP="00357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2CC">
      <w:rPr>
        <w:rStyle w:val="PageNumber"/>
        <w:noProof/>
      </w:rPr>
      <w:t>1</w:t>
    </w:r>
    <w:r>
      <w:rPr>
        <w:rStyle w:val="PageNumber"/>
      </w:rPr>
      <w:fldChar w:fldCharType="end"/>
    </w:r>
  </w:p>
  <w:p w:rsidR="00922B9F" w:rsidRDefault="00922B9F" w:rsidP="00357C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A8" w:rsidRDefault="00A165A8">
      <w:pPr>
        <w:spacing w:after="0" w:line="240" w:lineRule="auto"/>
      </w:pPr>
      <w:r>
        <w:separator/>
      </w:r>
    </w:p>
  </w:footnote>
  <w:footnote w:type="continuationSeparator" w:id="0">
    <w:p w:rsidR="00A165A8" w:rsidRDefault="00A1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802A8A"/>
    <w:multiLevelType w:val="hybridMultilevel"/>
    <w:tmpl w:val="CCA68DCC"/>
    <w:lvl w:ilvl="0" w:tplc="040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67624"/>
    <w:multiLevelType w:val="hybridMultilevel"/>
    <w:tmpl w:val="B5A276A6"/>
    <w:lvl w:ilvl="0" w:tplc="38184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A466B58">
      <w:start w:val="1"/>
      <w:numFmt w:val="decimal"/>
      <w:lvlText w:val="2.%2."/>
      <w:lvlJc w:val="left"/>
      <w:pPr>
        <w:tabs>
          <w:tab w:val="num" w:pos="1022"/>
        </w:tabs>
        <w:ind w:left="1022" w:hanging="482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4C02C5B"/>
    <w:multiLevelType w:val="hybridMultilevel"/>
    <w:tmpl w:val="428A3704"/>
    <w:lvl w:ilvl="0" w:tplc="F90CFFD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7B65DE"/>
    <w:multiLevelType w:val="multilevel"/>
    <w:tmpl w:val="8ABA8B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5">
    <w:nsid w:val="282D74F5"/>
    <w:multiLevelType w:val="hybridMultilevel"/>
    <w:tmpl w:val="9F82F0B0"/>
    <w:lvl w:ilvl="0" w:tplc="96884F44">
      <w:start w:val="1"/>
      <w:numFmt w:val="decimal"/>
      <w:lvlText w:val="4.%1."/>
      <w:lvlJc w:val="left"/>
      <w:pPr>
        <w:tabs>
          <w:tab w:val="num" w:pos="1191"/>
        </w:tabs>
        <w:ind w:left="1191" w:hanging="483"/>
      </w:pPr>
      <w:rPr>
        <w:rFonts w:cs="Times New Roman" w:hint="default"/>
      </w:rPr>
    </w:lvl>
    <w:lvl w:ilvl="1" w:tplc="1318D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03163"/>
    <w:multiLevelType w:val="hybridMultilevel"/>
    <w:tmpl w:val="771E42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11DB4"/>
    <w:multiLevelType w:val="multilevel"/>
    <w:tmpl w:val="3A30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B4A38A1"/>
    <w:multiLevelType w:val="hybridMultilevel"/>
    <w:tmpl w:val="E92AAB26"/>
    <w:lvl w:ilvl="0" w:tplc="9A4E3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00C19"/>
    <w:multiLevelType w:val="hybridMultilevel"/>
    <w:tmpl w:val="BFD4AE2A"/>
    <w:lvl w:ilvl="0" w:tplc="C59A2B9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427455"/>
    <w:multiLevelType w:val="hybridMultilevel"/>
    <w:tmpl w:val="80BE55D8"/>
    <w:lvl w:ilvl="0" w:tplc="0936BC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46E04D95"/>
    <w:multiLevelType w:val="hybridMultilevel"/>
    <w:tmpl w:val="061CD7E8"/>
    <w:lvl w:ilvl="0" w:tplc="9A1822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9F5A78"/>
    <w:multiLevelType w:val="hybridMultilevel"/>
    <w:tmpl w:val="099627D4"/>
    <w:lvl w:ilvl="0" w:tplc="326E3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061206"/>
    <w:multiLevelType w:val="hybridMultilevel"/>
    <w:tmpl w:val="1244197C"/>
    <w:lvl w:ilvl="0" w:tplc="F16C4C6A">
      <w:start w:val="2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4">
    <w:nsid w:val="54E80DE2"/>
    <w:multiLevelType w:val="hybridMultilevel"/>
    <w:tmpl w:val="7A8CD794"/>
    <w:lvl w:ilvl="0" w:tplc="2CD684F6">
      <w:start w:val="1"/>
      <w:numFmt w:val="decimal"/>
      <w:lvlText w:val="%1."/>
      <w:lvlJc w:val="left"/>
      <w:pPr>
        <w:ind w:left="1068" w:hanging="360"/>
      </w:pPr>
      <w:rPr>
        <w:rFonts w:eastAsia="Times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9F49A2"/>
    <w:multiLevelType w:val="hybridMultilevel"/>
    <w:tmpl w:val="A6E6683A"/>
    <w:lvl w:ilvl="0" w:tplc="DDF47B6A">
      <w:start w:val="1"/>
      <w:numFmt w:val="decimal"/>
      <w:lvlText w:val="%1."/>
      <w:lvlJc w:val="left"/>
      <w:pPr>
        <w:tabs>
          <w:tab w:val="num" w:pos="1383"/>
        </w:tabs>
        <w:ind w:left="1383" w:hanging="483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64A4A"/>
    <w:multiLevelType w:val="hybridMultilevel"/>
    <w:tmpl w:val="10F4E28E"/>
    <w:lvl w:ilvl="0" w:tplc="6C044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A9E281A"/>
    <w:multiLevelType w:val="hybridMultilevel"/>
    <w:tmpl w:val="49C2E5EA"/>
    <w:lvl w:ilvl="0" w:tplc="3BF20846">
      <w:start w:val="1"/>
      <w:numFmt w:val="decimal"/>
      <w:lvlText w:val="3.%1."/>
      <w:lvlJc w:val="left"/>
      <w:pPr>
        <w:tabs>
          <w:tab w:val="num" w:pos="1247"/>
        </w:tabs>
        <w:ind w:left="1247" w:hanging="53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6B073D"/>
    <w:multiLevelType w:val="hybridMultilevel"/>
    <w:tmpl w:val="042EC99C"/>
    <w:lvl w:ilvl="0" w:tplc="1A42B3B4">
      <w:start w:val="1"/>
      <w:numFmt w:val="decimal"/>
      <w:lvlText w:val="%1."/>
      <w:lvlJc w:val="left"/>
      <w:pPr>
        <w:tabs>
          <w:tab w:val="num" w:pos="1191"/>
        </w:tabs>
        <w:ind w:left="1191" w:hanging="483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025AB"/>
    <w:multiLevelType w:val="hybridMultilevel"/>
    <w:tmpl w:val="FCF03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7F4240"/>
    <w:multiLevelType w:val="hybridMultilevel"/>
    <w:tmpl w:val="B0CC149E"/>
    <w:lvl w:ilvl="0" w:tplc="7CD20738">
      <w:start w:val="1"/>
      <w:numFmt w:val="decimal"/>
      <w:lvlText w:val="1.%1."/>
      <w:lvlJc w:val="left"/>
      <w:pPr>
        <w:tabs>
          <w:tab w:val="num" w:pos="1247"/>
        </w:tabs>
        <w:ind w:left="1247" w:hanging="53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7D76EB"/>
    <w:multiLevelType w:val="multilevel"/>
    <w:tmpl w:val="E9261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27711F"/>
    <w:multiLevelType w:val="hybridMultilevel"/>
    <w:tmpl w:val="247C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658BC"/>
    <w:multiLevelType w:val="multilevel"/>
    <w:tmpl w:val="FFAC0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18"/>
  </w:num>
  <w:num w:numId="9">
    <w:abstractNumId w:val="19"/>
  </w:num>
  <w:num w:numId="10">
    <w:abstractNumId w:val="3"/>
  </w:num>
  <w:num w:numId="11">
    <w:abstractNumId w:val="9"/>
  </w:num>
  <w:num w:numId="12">
    <w:abstractNumId w:val="2"/>
  </w:num>
  <w:num w:numId="13">
    <w:abstractNumId w:val="20"/>
  </w:num>
  <w:num w:numId="14">
    <w:abstractNumId w:val="17"/>
  </w:num>
  <w:num w:numId="15">
    <w:abstractNumId w:val="5"/>
  </w:num>
  <w:num w:numId="16">
    <w:abstractNumId w:val="8"/>
  </w:num>
  <w:num w:numId="17">
    <w:abstractNumId w:val="14"/>
  </w:num>
  <w:num w:numId="18">
    <w:abstractNumId w:val="11"/>
  </w:num>
  <w:num w:numId="19">
    <w:abstractNumId w:val="7"/>
  </w:num>
  <w:num w:numId="20">
    <w:abstractNumId w:val="4"/>
  </w:num>
  <w:num w:numId="21">
    <w:abstractNumId w:val="23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A"/>
    <w:rsid w:val="00090092"/>
    <w:rsid w:val="000B743D"/>
    <w:rsid w:val="00123849"/>
    <w:rsid w:val="001D5460"/>
    <w:rsid w:val="00357C9D"/>
    <w:rsid w:val="00403D63"/>
    <w:rsid w:val="00423FDA"/>
    <w:rsid w:val="0043384A"/>
    <w:rsid w:val="00492546"/>
    <w:rsid w:val="00585C53"/>
    <w:rsid w:val="00636C21"/>
    <w:rsid w:val="006E7937"/>
    <w:rsid w:val="006F0CDB"/>
    <w:rsid w:val="00700ACE"/>
    <w:rsid w:val="007C2256"/>
    <w:rsid w:val="00887DDF"/>
    <w:rsid w:val="008B68E3"/>
    <w:rsid w:val="008B7657"/>
    <w:rsid w:val="0091246A"/>
    <w:rsid w:val="00922B9F"/>
    <w:rsid w:val="009B537F"/>
    <w:rsid w:val="00A165A8"/>
    <w:rsid w:val="00B2503C"/>
    <w:rsid w:val="00B85F4E"/>
    <w:rsid w:val="00BD135E"/>
    <w:rsid w:val="00C61C72"/>
    <w:rsid w:val="00C82D71"/>
    <w:rsid w:val="00D612CC"/>
    <w:rsid w:val="00D6240C"/>
    <w:rsid w:val="00DA72F0"/>
    <w:rsid w:val="00DE2417"/>
    <w:rsid w:val="00E72BDA"/>
    <w:rsid w:val="00E83722"/>
    <w:rsid w:val="00F314B7"/>
    <w:rsid w:val="00FB3665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7DDF"/>
    <w:pPr>
      <w:keepNext/>
      <w:spacing w:after="0" w:line="240" w:lineRule="auto"/>
      <w:jc w:val="right"/>
      <w:outlineLvl w:val="0"/>
    </w:pPr>
    <w:rPr>
      <w:rFonts w:ascii="Бастион" w:eastAsia="Times" w:hAnsi="Бастион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7DDF"/>
    <w:pPr>
      <w:keepNext/>
      <w:spacing w:after="0" w:line="240" w:lineRule="auto"/>
      <w:jc w:val="both"/>
      <w:outlineLvl w:val="1"/>
    </w:pPr>
    <w:rPr>
      <w:rFonts w:ascii="Латински" w:eastAsia="Times" w:hAnsi="Латински" w:cs="Times New Roman"/>
      <w:b/>
      <w:color w:val="00000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87DDF"/>
    <w:pPr>
      <w:keepNext/>
      <w:spacing w:after="0" w:line="360" w:lineRule="auto"/>
      <w:jc w:val="center"/>
      <w:outlineLvl w:val="2"/>
    </w:pPr>
    <w:rPr>
      <w:rFonts w:ascii="HebarU" w:eastAsia="Times New Roman" w:hAnsi="HebarU" w:cs="Times New Roman"/>
      <w:b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DDF"/>
    <w:rPr>
      <w:rFonts w:ascii="Бастион" w:eastAsia="Times" w:hAnsi="Бастион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7DDF"/>
    <w:rPr>
      <w:rFonts w:ascii="Латински" w:eastAsia="Times" w:hAnsi="Латински" w:cs="Times New Roman"/>
      <w:b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87DDF"/>
    <w:rPr>
      <w:rFonts w:ascii="HebarU" w:eastAsia="Times New Roman" w:hAnsi="HebarU" w:cs="Times New Roman"/>
      <w:b/>
      <w:sz w:val="24"/>
      <w:szCs w:val="20"/>
      <w:lang w:val="bg-BG"/>
    </w:rPr>
  </w:style>
  <w:style w:type="numbering" w:customStyle="1" w:styleId="NoList1">
    <w:name w:val="No List1"/>
    <w:next w:val="NoList"/>
    <w:semiHidden/>
    <w:rsid w:val="00887DDF"/>
  </w:style>
  <w:style w:type="paragraph" w:styleId="BodyText">
    <w:name w:val="Body Text"/>
    <w:basedOn w:val="Normal"/>
    <w:link w:val="BodyTextChar"/>
    <w:rsid w:val="00887DDF"/>
    <w:pPr>
      <w:spacing w:after="0" w:line="240" w:lineRule="auto"/>
    </w:pPr>
    <w:rPr>
      <w:rFonts w:ascii="Бастион" w:eastAsia="Times" w:hAnsi="Бастион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87DDF"/>
    <w:rPr>
      <w:rFonts w:ascii="Бастион" w:eastAsia="Times" w:hAnsi="Бастион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887DDF"/>
    <w:pPr>
      <w:spacing w:after="0" w:line="240" w:lineRule="auto"/>
    </w:pPr>
    <w:rPr>
      <w:rFonts w:ascii="Tahoma" w:eastAsia="Times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7DDF"/>
    <w:rPr>
      <w:rFonts w:ascii="Tahoma" w:eastAsia="Times" w:hAnsi="Tahoma" w:cs="Tahoma"/>
      <w:color w:val="000000"/>
      <w:sz w:val="16"/>
      <w:szCs w:val="16"/>
    </w:rPr>
  </w:style>
  <w:style w:type="character" w:styleId="Hyperlink">
    <w:name w:val="Hyperlink"/>
    <w:rsid w:val="00887DDF"/>
    <w:rPr>
      <w:color w:val="0000FF"/>
      <w:u w:val="single"/>
    </w:rPr>
  </w:style>
  <w:style w:type="character" w:customStyle="1" w:styleId="historyitem">
    <w:name w:val="historyitem"/>
    <w:basedOn w:val="DefaultParagraphFont"/>
    <w:rsid w:val="00887DDF"/>
  </w:style>
  <w:style w:type="character" w:customStyle="1" w:styleId="historyitemselected1">
    <w:name w:val="historyitemselected1"/>
    <w:rsid w:val="00887DDF"/>
    <w:rPr>
      <w:b/>
      <w:bCs/>
      <w:color w:val="0086C6"/>
    </w:rPr>
  </w:style>
  <w:style w:type="paragraph" w:styleId="BodyTextIndent2">
    <w:name w:val="Body Text Indent 2"/>
    <w:basedOn w:val="Normal"/>
    <w:link w:val="BodyTextIndent2Char"/>
    <w:rsid w:val="00887DD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887DDF"/>
    <w:rPr>
      <w:rFonts w:ascii="Arial" w:eastAsia="Times New Roman" w:hAnsi="Arial" w:cs="Times New Roman"/>
      <w:sz w:val="24"/>
      <w:szCs w:val="20"/>
      <w:lang w:val="bg-BG" w:eastAsia="bg-BG"/>
    </w:rPr>
  </w:style>
  <w:style w:type="paragraph" w:styleId="NormalWeb">
    <w:name w:val="Normal (Web)"/>
    <w:basedOn w:val="Normal"/>
    <w:rsid w:val="008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887DDF"/>
    <w:pPr>
      <w:tabs>
        <w:tab w:val="center" w:pos="4536"/>
        <w:tab w:val="right" w:pos="9072"/>
      </w:tabs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7DDF"/>
    <w:rPr>
      <w:rFonts w:ascii="Timok TT" w:eastAsia="Times" w:hAnsi="Timok TT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887DDF"/>
  </w:style>
  <w:style w:type="character" w:customStyle="1" w:styleId="ala1">
    <w:name w:val="al_a1"/>
    <w:rsid w:val="00887DDF"/>
    <w:rPr>
      <w:vanish w:val="0"/>
      <w:webHidden w:val="0"/>
      <w:specVanish w:val="0"/>
    </w:rPr>
  </w:style>
  <w:style w:type="character" w:customStyle="1" w:styleId="hiddenref1">
    <w:name w:val="hiddenref1"/>
    <w:rsid w:val="00887DDF"/>
    <w:rPr>
      <w:color w:val="000000"/>
      <w:u w:val="single"/>
    </w:rPr>
  </w:style>
  <w:style w:type="character" w:styleId="CommentReference">
    <w:name w:val="annotation reference"/>
    <w:rsid w:val="00887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DDF"/>
    <w:pPr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DDF"/>
    <w:rPr>
      <w:rFonts w:ascii="Timok TT" w:eastAsia="Times" w:hAnsi="Timok T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8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7DDF"/>
    <w:rPr>
      <w:rFonts w:ascii="Timok TT" w:eastAsia="Times" w:hAnsi="Timok TT" w:cs="Times New Roman"/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887D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">
    <w:name w:val="w"/>
    <w:basedOn w:val="Normal"/>
    <w:rsid w:val="008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ymbol1">
    <w:name w:val="symbol1"/>
    <w:rsid w:val="00887DDF"/>
    <w:rPr>
      <w:b/>
      <w:bCs/>
      <w:i/>
      <w:iCs/>
      <w:color w:val="0F4F37"/>
    </w:rPr>
  </w:style>
  <w:style w:type="character" w:customStyle="1" w:styleId="google-src-text1">
    <w:name w:val="google-src-text1"/>
    <w:rsid w:val="00887DDF"/>
    <w:rPr>
      <w:rFonts w:cs="Times New Roman"/>
      <w:vanish/>
    </w:rPr>
  </w:style>
  <w:style w:type="paragraph" w:customStyle="1" w:styleId="m">
    <w:name w:val="m"/>
    <w:basedOn w:val="Normal"/>
    <w:rsid w:val="00887DD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rsid w:val="00887DD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87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rsid w:val="00887DD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87DDF"/>
    <w:pPr>
      <w:shd w:val="clear" w:color="auto" w:fill="000080"/>
      <w:spacing w:after="0" w:line="240" w:lineRule="auto"/>
    </w:pPr>
    <w:rPr>
      <w:rFonts w:ascii="Tahoma" w:eastAsia="Times" w:hAnsi="Tahoma" w:cs="Tahoma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87DDF"/>
    <w:rPr>
      <w:rFonts w:ascii="Tahoma" w:eastAsia="Times" w:hAnsi="Tahoma" w:cs="Tahoma"/>
      <w:color w:val="000000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88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87DDF"/>
  </w:style>
  <w:style w:type="paragraph" w:styleId="ListParagraph">
    <w:name w:val="List Paragraph"/>
    <w:basedOn w:val="Normal"/>
    <w:uiPriority w:val="34"/>
    <w:qFormat/>
    <w:rsid w:val="00887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1">
    <w:name w:val="Table Grid1"/>
    <w:basedOn w:val="TableNormal"/>
    <w:next w:val="TableGrid"/>
    <w:rsid w:val="0035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7DDF"/>
    <w:pPr>
      <w:keepNext/>
      <w:spacing w:after="0" w:line="240" w:lineRule="auto"/>
      <w:jc w:val="right"/>
      <w:outlineLvl w:val="0"/>
    </w:pPr>
    <w:rPr>
      <w:rFonts w:ascii="Бастион" w:eastAsia="Times" w:hAnsi="Бастион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7DDF"/>
    <w:pPr>
      <w:keepNext/>
      <w:spacing w:after="0" w:line="240" w:lineRule="auto"/>
      <w:jc w:val="both"/>
      <w:outlineLvl w:val="1"/>
    </w:pPr>
    <w:rPr>
      <w:rFonts w:ascii="Латински" w:eastAsia="Times" w:hAnsi="Латински" w:cs="Times New Roman"/>
      <w:b/>
      <w:color w:val="00000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87DDF"/>
    <w:pPr>
      <w:keepNext/>
      <w:spacing w:after="0" w:line="360" w:lineRule="auto"/>
      <w:jc w:val="center"/>
      <w:outlineLvl w:val="2"/>
    </w:pPr>
    <w:rPr>
      <w:rFonts w:ascii="HebarU" w:eastAsia="Times New Roman" w:hAnsi="HebarU" w:cs="Times New Roman"/>
      <w:b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DDF"/>
    <w:rPr>
      <w:rFonts w:ascii="Бастион" w:eastAsia="Times" w:hAnsi="Бастион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7DDF"/>
    <w:rPr>
      <w:rFonts w:ascii="Латински" w:eastAsia="Times" w:hAnsi="Латински" w:cs="Times New Roman"/>
      <w:b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87DDF"/>
    <w:rPr>
      <w:rFonts w:ascii="HebarU" w:eastAsia="Times New Roman" w:hAnsi="HebarU" w:cs="Times New Roman"/>
      <w:b/>
      <w:sz w:val="24"/>
      <w:szCs w:val="20"/>
      <w:lang w:val="bg-BG"/>
    </w:rPr>
  </w:style>
  <w:style w:type="numbering" w:customStyle="1" w:styleId="NoList1">
    <w:name w:val="No List1"/>
    <w:next w:val="NoList"/>
    <w:semiHidden/>
    <w:rsid w:val="00887DDF"/>
  </w:style>
  <w:style w:type="paragraph" w:styleId="BodyText">
    <w:name w:val="Body Text"/>
    <w:basedOn w:val="Normal"/>
    <w:link w:val="BodyTextChar"/>
    <w:rsid w:val="00887DDF"/>
    <w:pPr>
      <w:spacing w:after="0" w:line="240" w:lineRule="auto"/>
    </w:pPr>
    <w:rPr>
      <w:rFonts w:ascii="Бастион" w:eastAsia="Times" w:hAnsi="Бастион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87DDF"/>
    <w:rPr>
      <w:rFonts w:ascii="Бастион" w:eastAsia="Times" w:hAnsi="Бастион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887DDF"/>
    <w:pPr>
      <w:spacing w:after="0" w:line="240" w:lineRule="auto"/>
    </w:pPr>
    <w:rPr>
      <w:rFonts w:ascii="Tahoma" w:eastAsia="Times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7DDF"/>
    <w:rPr>
      <w:rFonts w:ascii="Tahoma" w:eastAsia="Times" w:hAnsi="Tahoma" w:cs="Tahoma"/>
      <w:color w:val="000000"/>
      <w:sz w:val="16"/>
      <w:szCs w:val="16"/>
    </w:rPr>
  </w:style>
  <w:style w:type="character" w:styleId="Hyperlink">
    <w:name w:val="Hyperlink"/>
    <w:rsid w:val="00887DDF"/>
    <w:rPr>
      <w:color w:val="0000FF"/>
      <w:u w:val="single"/>
    </w:rPr>
  </w:style>
  <w:style w:type="character" w:customStyle="1" w:styleId="historyitem">
    <w:name w:val="historyitem"/>
    <w:basedOn w:val="DefaultParagraphFont"/>
    <w:rsid w:val="00887DDF"/>
  </w:style>
  <w:style w:type="character" w:customStyle="1" w:styleId="historyitemselected1">
    <w:name w:val="historyitemselected1"/>
    <w:rsid w:val="00887DDF"/>
    <w:rPr>
      <w:b/>
      <w:bCs/>
      <w:color w:val="0086C6"/>
    </w:rPr>
  </w:style>
  <w:style w:type="paragraph" w:styleId="BodyTextIndent2">
    <w:name w:val="Body Text Indent 2"/>
    <w:basedOn w:val="Normal"/>
    <w:link w:val="BodyTextIndent2Char"/>
    <w:rsid w:val="00887DD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887DDF"/>
    <w:rPr>
      <w:rFonts w:ascii="Arial" w:eastAsia="Times New Roman" w:hAnsi="Arial" w:cs="Times New Roman"/>
      <w:sz w:val="24"/>
      <w:szCs w:val="20"/>
      <w:lang w:val="bg-BG" w:eastAsia="bg-BG"/>
    </w:rPr>
  </w:style>
  <w:style w:type="paragraph" w:styleId="NormalWeb">
    <w:name w:val="Normal (Web)"/>
    <w:basedOn w:val="Normal"/>
    <w:rsid w:val="008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887DDF"/>
    <w:pPr>
      <w:tabs>
        <w:tab w:val="center" w:pos="4536"/>
        <w:tab w:val="right" w:pos="9072"/>
      </w:tabs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7DDF"/>
    <w:rPr>
      <w:rFonts w:ascii="Timok TT" w:eastAsia="Times" w:hAnsi="Timok TT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887DDF"/>
  </w:style>
  <w:style w:type="character" w:customStyle="1" w:styleId="ala1">
    <w:name w:val="al_a1"/>
    <w:rsid w:val="00887DDF"/>
    <w:rPr>
      <w:vanish w:val="0"/>
      <w:webHidden w:val="0"/>
      <w:specVanish w:val="0"/>
    </w:rPr>
  </w:style>
  <w:style w:type="character" w:customStyle="1" w:styleId="hiddenref1">
    <w:name w:val="hiddenref1"/>
    <w:rsid w:val="00887DDF"/>
    <w:rPr>
      <w:color w:val="000000"/>
      <w:u w:val="single"/>
    </w:rPr>
  </w:style>
  <w:style w:type="character" w:styleId="CommentReference">
    <w:name w:val="annotation reference"/>
    <w:rsid w:val="00887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DDF"/>
    <w:pPr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DDF"/>
    <w:rPr>
      <w:rFonts w:ascii="Timok TT" w:eastAsia="Times" w:hAnsi="Timok T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8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7DDF"/>
    <w:rPr>
      <w:rFonts w:ascii="Timok TT" w:eastAsia="Times" w:hAnsi="Timok TT" w:cs="Times New Roman"/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887D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">
    <w:name w:val="w"/>
    <w:basedOn w:val="Normal"/>
    <w:rsid w:val="008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ymbol1">
    <w:name w:val="symbol1"/>
    <w:rsid w:val="00887DDF"/>
    <w:rPr>
      <w:b/>
      <w:bCs/>
      <w:i/>
      <w:iCs/>
      <w:color w:val="0F4F37"/>
    </w:rPr>
  </w:style>
  <w:style w:type="character" w:customStyle="1" w:styleId="google-src-text1">
    <w:name w:val="google-src-text1"/>
    <w:rsid w:val="00887DDF"/>
    <w:rPr>
      <w:rFonts w:cs="Times New Roman"/>
      <w:vanish/>
    </w:rPr>
  </w:style>
  <w:style w:type="paragraph" w:customStyle="1" w:styleId="m">
    <w:name w:val="m"/>
    <w:basedOn w:val="Normal"/>
    <w:rsid w:val="00887DD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rsid w:val="00887DD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87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rsid w:val="00887DD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87DDF"/>
    <w:pPr>
      <w:shd w:val="clear" w:color="auto" w:fill="000080"/>
      <w:spacing w:after="0" w:line="240" w:lineRule="auto"/>
    </w:pPr>
    <w:rPr>
      <w:rFonts w:ascii="Tahoma" w:eastAsia="Times" w:hAnsi="Tahoma" w:cs="Tahoma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87DDF"/>
    <w:rPr>
      <w:rFonts w:ascii="Tahoma" w:eastAsia="Times" w:hAnsi="Tahoma" w:cs="Tahoma"/>
      <w:color w:val="000000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88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87DDF"/>
  </w:style>
  <w:style w:type="paragraph" w:styleId="ListParagraph">
    <w:name w:val="List Paragraph"/>
    <w:basedOn w:val="Normal"/>
    <w:uiPriority w:val="34"/>
    <w:qFormat/>
    <w:rsid w:val="00887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1">
    <w:name w:val="Table Grid1"/>
    <w:basedOn w:val="TableNormal"/>
    <w:next w:val="TableGrid"/>
    <w:rsid w:val="0035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ORM&amp;DocCode=85103005&amp;Type=201" TargetMode="External"/><Relationship Id="rId18" Type="http://schemas.openxmlformats.org/officeDocument/2006/relationships/hyperlink" Target="apis://Base=NORM&amp;DocCode=851030622&amp;Type=201" TargetMode="External"/><Relationship Id="rId26" Type="http://schemas.openxmlformats.org/officeDocument/2006/relationships/hyperlink" Target="apis://Base=NORM&amp;DocCode=8510313038&amp;Type=201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ORM&amp;DocCode=8510308034&amp;Type=201" TargetMode="External"/><Relationship Id="rId7" Type="http://schemas.openxmlformats.org/officeDocument/2006/relationships/footnotes" Target="footnotes.xml"/><Relationship Id="rId12" Type="http://schemas.openxmlformats.org/officeDocument/2006/relationships/hyperlink" Target="apis://Base=NORM&amp;DocCode=85103004&amp;Type=201" TargetMode="External"/><Relationship Id="rId17" Type="http://schemas.openxmlformats.org/officeDocument/2006/relationships/hyperlink" Target="apis://Base=NORM&amp;DocCode=851030596&amp;Type=201" TargetMode="External"/><Relationship Id="rId25" Type="http://schemas.openxmlformats.org/officeDocument/2006/relationships/hyperlink" Target="apis://Base=NORM&amp;DocCode=8510312094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85103008&amp;Type=201" TargetMode="External"/><Relationship Id="rId20" Type="http://schemas.openxmlformats.org/officeDocument/2006/relationships/hyperlink" Target="apis://Base=NORM&amp;DocCode=851030725&amp;Type=2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85103003&amp;Type=201" TargetMode="External"/><Relationship Id="rId24" Type="http://schemas.openxmlformats.org/officeDocument/2006/relationships/hyperlink" Target="apis://Base=NORM&amp;DocCode=8510311107&amp;Type=201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ORM&amp;DocCode=85103007&amp;Type=201" TargetMode="External"/><Relationship Id="rId23" Type="http://schemas.openxmlformats.org/officeDocument/2006/relationships/hyperlink" Target="apis://Base=NORM&amp;DocCode=8510311020&amp;Type=201" TargetMode="External"/><Relationship Id="rId28" Type="http://schemas.openxmlformats.org/officeDocument/2006/relationships/footer" Target="footer2.xml"/><Relationship Id="rId10" Type="http://schemas.openxmlformats.org/officeDocument/2006/relationships/hyperlink" Target="apis://Base=NORM&amp;DocCode=85103002&amp;Type=201" TargetMode="External"/><Relationship Id="rId19" Type="http://schemas.openxmlformats.org/officeDocument/2006/relationships/hyperlink" Target="apis://Base=NORM&amp;DocCode=851030701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85103001&amp;Type=201" TargetMode="External"/><Relationship Id="rId14" Type="http://schemas.openxmlformats.org/officeDocument/2006/relationships/hyperlink" Target="apis://Base=NORM&amp;DocCode=85103006&amp;Type=201" TargetMode="External"/><Relationship Id="rId22" Type="http://schemas.openxmlformats.org/officeDocument/2006/relationships/hyperlink" Target="apis://Base=NORM&amp;DocCode=8510308092&amp;Type=20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E27F-61FA-4D13-B005-486D4996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Ralica Peeva</cp:lastModifiedBy>
  <cp:revision>9</cp:revision>
  <cp:lastPrinted>2014-07-02T06:57:00Z</cp:lastPrinted>
  <dcterms:created xsi:type="dcterms:W3CDTF">2014-06-26T09:10:00Z</dcterms:created>
  <dcterms:modified xsi:type="dcterms:W3CDTF">2014-06-26T11:59:00Z</dcterms:modified>
</cp:coreProperties>
</file>