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4D" w:rsidRPr="00AC7438" w:rsidRDefault="002B314D" w:rsidP="00BD6565">
      <w:pPr>
        <w:jc w:val="center"/>
        <w:rPr>
          <w:b/>
          <w:bCs/>
          <w:i/>
          <w:iCs/>
          <w:sz w:val="20"/>
          <w:szCs w:val="20"/>
          <w:u w:val="single"/>
          <w:lang w:val="ru-RU"/>
        </w:rPr>
      </w:pPr>
      <w:r w:rsidRPr="00D05E17">
        <w:rPr>
          <w:b/>
          <w:bCs/>
          <w:i/>
          <w:iCs/>
          <w:sz w:val="20"/>
          <w:szCs w:val="20"/>
          <w:u w:val="single"/>
        </w:rPr>
        <w:t>Измерване на напредъка в изпълнението  на Цифрова програма за Европа и Национална програма цифрова България</w:t>
      </w:r>
    </w:p>
    <w:p w:rsidR="002B314D" w:rsidRPr="00D05E17" w:rsidRDefault="002B314D" w:rsidP="00BD6565">
      <w:pPr>
        <w:jc w:val="center"/>
        <w:rPr>
          <w:b/>
          <w:bCs/>
          <w:i/>
          <w:iCs/>
          <w:sz w:val="20"/>
          <w:szCs w:val="20"/>
          <w:u w:val="single"/>
          <w:lang w:val="en-US"/>
        </w:rPr>
      </w:pPr>
      <w:r w:rsidRPr="00D05E17">
        <w:rPr>
          <w:b/>
          <w:bCs/>
          <w:i/>
          <w:iCs/>
          <w:sz w:val="20"/>
          <w:szCs w:val="20"/>
          <w:u w:val="single"/>
        </w:rPr>
        <w:t xml:space="preserve">юни </w:t>
      </w:r>
      <w:smartTag w:uri="urn:schemas-microsoft-com:office:smarttags" w:element="metricconverter">
        <w:smartTagPr>
          <w:attr w:name="ProductID" w:val="2014 г"/>
        </w:smartTagPr>
        <w:r w:rsidRPr="00D05E17">
          <w:rPr>
            <w:b/>
            <w:bCs/>
            <w:i/>
            <w:iCs/>
            <w:sz w:val="20"/>
            <w:szCs w:val="20"/>
            <w:u w:val="single"/>
          </w:rPr>
          <w:t>2014</w:t>
        </w:r>
        <w:r w:rsidRPr="00D05E17">
          <w:rPr>
            <w:b/>
            <w:bCs/>
            <w:i/>
            <w:iCs/>
            <w:sz w:val="20"/>
            <w:szCs w:val="20"/>
            <w:u w:val="single"/>
            <w:lang w:val="en-US"/>
          </w:rPr>
          <w:t xml:space="preserve"> </w:t>
        </w:r>
        <w:r w:rsidRPr="00D05E17">
          <w:rPr>
            <w:b/>
            <w:bCs/>
            <w:i/>
            <w:iCs/>
            <w:sz w:val="20"/>
            <w:szCs w:val="20"/>
            <w:u w:val="single"/>
          </w:rPr>
          <w:t>г</w:t>
        </w:r>
      </w:smartTag>
      <w:r w:rsidRPr="00D05E17">
        <w:rPr>
          <w:b/>
          <w:bCs/>
          <w:i/>
          <w:iCs/>
          <w:sz w:val="20"/>
          <w:szCs w:val="20"/>
          <w:u w:val="single"/>
        </w:rPr>
        <w:t>.</w:t>
      </w:r>
    </w:p>
    <w:p w:rsidR="002B314D" w:rsidRPr="00D05E17" w:rsidRDefault="002B314D" w:rsidP="00BD6565">
      <w:pPr>
        <w:jc w:val="center"/>
        <w:rPr>
          <w:sz w:val="20"/>
          <w:szCs w:val="20"/>
          <w:lang w:val="en-US"/>
        </w:rPr>
      </w:pPr>
    </w:p>
    <w:tbl>
      <w:tblPr>
        <w:tblW w:w="152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83"/>
        <w:gridCol w:w="1433"/>
        <w:gridCol w:w="1742"/>
        <w:gridCol w:w="1189"/>
        <w:gridCol w:w="968"/>
        <w:gridCol w:w="1080"/>
        <w:gridCol w:w="1260"/>
        <w:gridCol w:w="1080"/>
        <w:gridCol w:w="540"/>
        <w:gridCol w:w="34"/>
        <w:gridCol w:w="574"/>
        <w:gridCol w:w="1260"/>
        <w:gridCol w:w="1080"/>
        <w:gridCol w:w="1080"/>
      </w:tblGrid>
      <w:tr w:rsidR="002B314D" w:rsidRPr="00D05E17" w:rsidTr="00E20DC1">
        <w:trPr>
          <w:trHeight w:val="330"/>
          <w:tblHeader/>
        </w:trPr>
        <w:tc>
          <w:tcPr>
            <w:tcW w:w="1883" w:type="dxa"/>
            <w:vMerge w:val="restart"/>
            <w:shd w:val="clear" w:color="auto" w:fill="FFFFCC"/>
            <w:vAlign w:val="center"/>
          </w:tcPr>
          <w:p w:rsidR="002B314D" w:rsidRPr="00D05E17" w:rsidRDefault="002B314D" w:rsidP="003D248E">
            <w:pPr>
              <w:jc w:val="center"/>
              <w:rPr>
                <w:b/>
                <w:bCs/>
                <w:sz w:val="20"/>
                <w:szCs w:val="20"/>
              </w:rPr>
            </w:pPr>
            <w:r w:rsidRPr="00D05E17">
              <w:rPr>
                <w:b/>
                <w:bCs/>
                <w:sz w:val="20"/>
                <w:szCs w:val="20"/>
              </w:rPr>
              <w:t>Цел</w:t>
            </w:r>
          </w:p>
        </w:tc>
        <w:tc>
          <w:tcPr>
            <w:tcW w:w="1433" w:type="dxa"/>
            <w:vMerge w:val="restart"/>
            <w:shd w:val="clear" w:color="auto" w:fill="FFFFCC"/>
            <w:vAlign w:val="center"/>
          </w:tcPr>
          <w:p w:rsidR="002B314D" w:rsidRPr="00D05E17" w:rsidRDefault="002B314D" w:rsidP="003D248E">
            <w:pPr>
              <w:jc w:val="center"/>
              <w:rPr>
                <w:b/>
                <w:bCs/>
                <w:sz w:val="20"/>
                <w:szCs w:val="20"/>
              </w:rPr>
            </w:pPr>
            <w:r w:rsidRPr="00D05E17">
              <w:rPr>
                <w:b/>
                <w:bCs/>
                <w:sz w:val="20"/>
                <w:szCs w:val="20"/>
              </w:rPr>
              <w:t>Целеви показатели</w:t>
            </w:r>
          </w:p>
        </w:tc>
        <w:tc>
          <w:tcPr>
            <w:tcW w:w="1742" w:type="dxa"/>
            <w:vMerge w:val="restart"/>
            <w:shd w:val="clear" w:color="auto" w:fill="FFFFCC"/>
            <w:vAlign w:val="center"/>
          </w:tcPr>
          <w:p w:rsidR="002B314D" w:rsidRPr="00D05E17" w:rsidRDefault="002B314D" w:rsidP="003D248E">
            <w:pPr>
              <w:jc w:val="center"/>
              <w:rPr>
                <w:b/>
                <w:bCs/>
                <w:sz w:val="20"/>
                <w:szCs w:val="20"/>
              </w:rPr>
            </w:pPr>
            <w:r w:rsidRPr="00D05E17">
              <w:rPr>
                <w:b/>
                <w:bCs/>
                <w:sz w:val="20"/>
                <w:szCs w:val="20"/>
              </w:rPr>
              <w:t>Изходно ниво за ЕС източник ЦПЕ</w:t>
            </w:r>
          </w:p>
        </w:tc>
        <w:tc>
          <w:tcPr>
            <w:tcW w:w="1189" w:type="dxa"/>
            <w:vMerge w:val="restart"/>
            <w:shd w:val="clear" w:color="auto" w:fill="FFFFCC"/>
            <w:vAlign w:val="center"/>
          </w:tcPr>
          <w:p w:rsidR="002B314D" w:rsidRPr="00D05E17" w:rsidRDefault="002B314D" w:rsidP="003D248E">
            <w:pPr>
              <w:jc w:val="center"/>
              <w:rPr>
                <w:b/>
                <w:bCs/>
                <w:sz w:val="20"/>
                <w:szCs w:val="20"/>
              </w:rPr>
            </w:pPr>
            <w:r w:rsidRPr="00D05E17">
              <w:rPr>
                <w:b/>
                <w:bCs/>
                <w:sz w:val="20"/>
                <w:szCs w:val="20"/>
              </w:rPr>
              <w:t xml:space="preserve">Изходно ниво за България източник </w:t>
            </w:r>
            <w:r w:rsidRPr="00D23438">
              <w:rPr>
                <w:b/>
                <w:iCs/>
                <w:sz w:val="20"/>
                <w:szCs w:val="20"/>
              </w:rPr>
              <w:t>ЦПЕ</w:t>
            </w:r>
          </w:p>
        </w:tc>
        <w:tc>
          <w:tcPr>
            <w:tcW w:w="8956" w:type="dxa"/>
            <w:gridSpan w:val="10"/>
            <w:shd w:val="clear" w:color="auto" w:fill="FFFFCC"/>
            <w:vAlign w:val="center"/>
          </w:tcPr>
          <w:p w:rsidR="002B314D" w:rsidRPr="00D05E17" w:rsidRDefault="002B314D" w:rsidP="003D248E">
            <w:pPr>
              <w:jc w:val="center"/>
              <w:rPr>
                <w:b/>
                <w:bCs/>
                <w:sz w:val="20"/>
                <w:szCs w:val="20"/>
              </w:rPr>
            </w:pPr>
            <w:r w:rsidRPr="00D05E17">
              <w:rPr>
                <w:b/>
                <w:bCs/>
                <w:sz w:val="20"/>
                <w:szCs w:val="20"/>
              </w:rPr>
              <w:t xml:space="preserve">Индикатори </w:t>
            </w:r>
            <w:r w:rsidRPr="00D05E17">
              <w:rPr>
                <w:sz w:val="20"/>
                <w:szCs w:val="20"/>
              </w:rPr>
              <w:t xml:space="preserve"> </w:t>
            </w:r>
            <w:r w:rsidRPr="00D05E17">
              <w:rPr>
                <w:b/>
                <w:bCs/>
                <w:sz w:val="20"/>
                <w:szCs w:val="20"/>
              </w:rPr>
              <w:t>ЕС 27</w:t>
            </w:r>
            <w:r>
              <w:rPr>
                <w:b/>
                <w:bCs/>
                <w:sz w:val="20"/>
                <w:szCs w:val="20"/>
              </w:rPr>
              <w:t xml:space="preserve">/28 </w:t>
            </w:r>
            <w:r w:rsidRPr="00D05E17">
              <w:rPr>
                <w:b/>
                <w:bCs/>
                <w:sz w:val="20"/>
                <w:szCs w:val="20"/>
              </w:rPr>
              <w:t xml:space="preserve"> и БГ , Източник ЦПЕ, КРС, НСИ</w:t>
            </w:r>
          </w:p>
        </w:tc>
      </w:tr>
      <w:tr w:rsidR="002B314D" w:rsidRPr="00D05E17" w:rsidTr="00C834B4">
        <w:trPr>
          <w:trHeight w:val="330"/>
          <w:tblHeader/>
        </w:trPr>
        <w:tc>
          <w:tcPr>
            <w:tcW w:w="1883" w:type="dxa"/>
            <w:vMerge/>
            <w:vAlign w:val="center"/>
          </w:tcPr>
          <w:p w:rsidR="002B314D" w:rsidRPr="00D05E17" w:rsidRDefault="002B314D" w:rsidP="003D248E">
            <w:pPr>
              <w:rPr>
                <w:b/>
                <w:bCs/>
                <w:sz w:val="20"/>
                <w:szCs w:val="20"/>
              </w:rPr>
            </w:pPr>
          </w:p>
        </w:tc>
        <w:tc>
          <w:tcPr>
            <w:tcW w:w="1433" w:type="dxa"/>
            <w:vMerge/>
            <w:vAlign w:val="center"/>
          </w:tcPr>
          <w:p w:rsidR="002B314D" w:rsidRPr="00D05E17" w:rsidRDefault="002B314D" w:rsidP="003D248E">
            <w:pPr>
              <w:rPr>
                <w:b/>
                <w:bCs/>
                <w:sz w:val="20"/>
                <w:szCs w:val="20"/>
              </w:rPr>
            </w:pPr>
          </w:p>
        </w:tc>
        <w:tc>
          <w:tcPr>
            <w:tcW w:w="1742" w:type="dxa"/>
            <w:vMerge/>
            <w:vAlign w:val="center"/>
          </w:tcPr>
          <w:p w:rsidR="002B314D" w:rsidRPr="00D05E17" w:rsidRDefault="002B314D" w:rsidP="003D248E">
            <w:pPr>
              <w:rPr>
                <w:b/>
                <w:bCs/>
                <w:sz w:val="20"/>
                <w:szCs w:val="20"/>
              </w:rPr>
            </w:pPr>
          </w:p>
        </w:tc>
        <w:tc>
          <w:tcPr>
            <w:tcW w:w="1189" w:type="dxa"/>
            <w:vMerge/>
            <w:vAlign w:val="center"/>
          </w:tcPr>
          <w:p w:rsidR="002B314D" w:rsidRPr="00D05E17" w:rsidRDefault="002B314D" w:rsidP="003D248E">
            <w:pPr>
              <w:rPr>
                <w:b/>
                <w:bCs/>
                <w:sz w:val="20"/>
                <w:szCs w:val="20"/>
              </w:rPr>
            </w:pPr>
          </w:p>
        </w:tc>
        <w:tc>
          <w:tcPr>
            <w:tcW w:w="2048" w:type="dxa"/>
            <w:gridSpan w:val="2"/>
            <w:shd w:val="clear" w:color="auto" w:fill="FFFFCC"/>
            <w:vAlign w:val="center"/>
          </w:tcPr>
          <w:p w:rsidR="002B314D" w:rsidRPr="00D05E17" w:rsidRDefault="002B314D" w:rsidP="003D248E">
            <w:pPr>
              <w:jc w:val="center"/>
              <w:rPr>
                <w:b/>
                <w:bCs/>
                <w:sz w:val="20"/>
                <w:szCs w:val="20"/>
              </w:rPr>
            </w:pPr>
            <w:r w:rsidRPr="00D05E17">
              <w:rPr>
                <w:b/>
                <w:bCs/>
                <w:sz w:val="20"/>
                <w:szCs w:val="20"/>
              </w:rPr>
              <w:t>2011</w:t>
            </w:r>
          </w:p>
        </w:tc>
        <w:tc>
          <w:tcPr>
            <w:tcW w:w="2340" w:type="dxa"/>
            <w:gridSpan w:val="2"/>
            <w:shd w:val="clear" w:color="auto" w:fill="FFFFCC"/>
            <w:vAlign w:val="center"/>
          </w:tcPr>
          <w:p w:rsidR="002B314D" w:rsidRPr="00D05E17" w:rsidRDefault="002B314D" w:rsidP="003D248E">
            <w:pPr>
              <w:jc w:val="center"/>
              <w:rPr>
                <w:b/>
                <w:bCs/>
                <w:sz w:val="20"/>
                <w:szCs w:val="20"/>
              </w:rPr>
            </w:pPr>
            <w:r w:rsidRPr="00D05E17">
              <w:rPr>
                <w:b/>
                <w:bCs/>
                <w:sz w:val="20"/>
                <w:szCs w:val="20"/>
              </w:rPr>
              <w:t>2012</w:t>
            </w:r>
          </w:p>
        </w:tc>
        <w:tc>
          <w:tcPr>
            <w:tcW w:w="1148" w:type="dxa"/>
            <w:gridSpan w:val="3"/>
            <w:shd w:val="clear" w:color="auto" w:fill="FFFFCC"/>
            <w:vAlign w:val="center"/>
          </w:tcPr>
          <w:p w:rsidR="002B314D" w:rsidRPr="00D05E17" w:rsidRDefault="002B314D" w:rsidP="003D248E">
            <w:pPr>
              <w:jc w:val="center"/>
              <w:rPr>
                <w:b/>
                <w:bCs/>
                <w:sz w:val="20"/>
                <w:szCs w:val="20"/>
              </w:rPr>
            </w:pPr>
            <w:r w:rsidRPr="00D05E17">
              <w:rPr>
                <w:b/>
                <w:bCs/>
                <w:sz w:val="20"/>
                <w:szCs w:val="20"/>
              </w:rPr>
              <w:t>2013</w:t>
            </w:r>
          </w:p>
          <w:p w:rsidR="002B314D" w:rsidRPr="00D05E17" w:rsidRDefault="002B314D" w:rsidP="003D248E">
            <w:pPr>
              <w:jc w:val="center"/>
              <w:rPr>
                <w:b/>
                <w:bCs/>
                <w:sz w:val="20"/>
                <w:szCs w:val="20"/>
              </w:rPr>
            </w:pPr>
          </w:p>
        </w:tc>
        <w:tc>
          <w:tcPr>
            <w:tcW w:w="1260" w:type="dxa"/>
            <w:vMerge w:val="restart"/>
            <w:shd w:val="clear" w:color="auto" w:fill="FFFFCC"/>
            <w:vAlign w:val="center"/>
          </w:tcPr>
          <w:p w:rsidR="002B314D" w:rsidRPr="00D05E17" w:rsidRDefault="002B314D" w:rsidP="003D248E">
            <w:pPr>
              <w:jc w:val="center"/>
              <w:rPr>
                <w:b/>
                <w:bCs/>
                <w:sz w:val="20"/>
                <w:szCs w:val="20"/>
              </w:rPr>
            </w:pPr>
            <w:r w:rsidRPr="00D05E17">
              <w:rPr>
                <w:b/>
                <w:bCs/>
                <w:sz w:val="20"/>
                <w:szCs w:val="20"/>
              </w:rPr>
              <w:t>2015</w:t>
            </w:r>
          </w:p>
        </w:tc>
        <w:tc>
          <w:tcPr>
            <w:tcW w:w="1080" w:type="dxa"/>
            <w:vMerge w:val="restart"/>
            <w:shd w:val="clear" w:color="auto" w:fill="FFFFCC"/>
            <w:vAlign w:val="center"/>
          </w:tcPr>
          <w:p w:rsidR="002B314D" w:rsidRPr="00D05E17" w:rsidRDefault="002B314D" w:rsidP="003D248E">
            <w:pPr>
              <w:jc w:val="center"/>
              <w:rPr>
                <w:b/>
                <w:bCs/>
                <w:sz w:val="20"/>
                <w:szCs w:val="20"/>
              </w:rPr>
            </w:pPr>
            <w:r w:rsidRPr="00D05E17">
              <w:rPr>
                <w:b/>
                <w:bCs/>
                <w:sz w:val="20"/>
                <w:szCs w:val="20"/>
              </w:rPr>
              <w:t>2018</w:t>
            </w:r>
          </w:p>
        </w:tc>
        <w:tc>
          <w:tcPr>
            <w:tcW w:w="1080" w:type="dxa"/>
            <w:vMerge w:val="restart"/>
            <w:shd w:val="clear" w:color="auto" w:fill="FFFFCC"/>
            <w:vAlign w:val="center"/>
          </w:tcPr>
          <w:p w:rsidR="002B314D" w:rsidRPr="00D05E17" w:rsidRDefault="002B314D" w:rsidP="003D248E">
            <w:pPr>
              <w:jc w:val="center"/>
              <w:rPr>
                <w:b/>
                <w:bCs/>
                <w:sz w:val="20"/>
                <w:szCs w:val="20"/>
              </w:rPr>
            </w:pPr>
            <w:r w:rsidRPr="00D05E17">
              <w:rPr>
                <w:b/>
                <w:bCs/>
                <w:sz w:val="20"/>
                <w:szCs w:val="20"/>
              </w:rPr>
              <w:t>2020</w:t>
            </w:r>
          </w:p>
        </w:tc>
      </w:tr>
      <w:tr w:rsidR="002B314D" w:rsidRPr="00D05E17" w:rsidTr="00C834B4">
        <w:trPr>
          <w:trHeight w:val="330"/>
          <w:tblHeader/>
        </w:trPr>
        <w:tc>
          <w:tcPr>
            <w:tcW w:w="1883" w:type="dxa"/>
            <w:vMerge/>
            <w:vAlign w:val="center"/>
          </w:tcPr>
          <w:p w:rsidR="002B314D" w:rsidRPr="00D05E17" w:rsidRDefault="002B314D" w:rsidP="003D248E">
            <w:pPr>
              <w:rPr>
                <w:b/>
                <w:bCs/>
                <w:sz w:val="20"/>
                <w:szCs w:val="20"/>
              </w:rPr>
            </w:pPr>
          </w:p>
        </w:tc>
        <w:tc>
          <w:tcPr>
            <w:tcW w:w="1433" w:type="dxa"/>
            <w:vMerge/>
            <w:vAlign w:val="center"/>
          </w:tcPr>
          <w:p w:rsidR="002B314D" w:rsidRPr="00D05E17" w:rsidRDefault="002B314D" w:rsidP="003D248E">
            <w:pPr>
              <w:rPr>
                <w:b/>
                <w:bCs/>
                <w:sz w:val="20"/>
                <w:szCs w:val="20"/>
              </w:rPr>
            </w:pPr>
          </w:p>
        </w:tc>
        <w:tc>
          <w:tcPr>
            <w:tcW w:w="1742" w:type="dxa"/>
            <w:vMerge/>
            <w:vAlign w:val="center"/>
          </w:tcPr>
          <w:p w:rsidR="002B314D" w:rsidRPr="00D05E17" w:rsidRDefault="002B314D" w:rsidP="003D248E">
            <w:pPr>
              <w:rPr>
                <w:b/>
                <w:bCs/>
                <w:sz w:val="20"/>
                <w:szCs w:val="20"/>
              </w:rPr>
            </w:pPr>
          </w:p>
        </w:tc>
        <w:tc>
          <w:tcPr>
            <w:tcW w:w="1189" w:type="dxa"/>
            <w:vMerge/>
            <w:vAlign w:val="center"/>
          </w:tcPr>
          <w:p w:rsidR="002B314D" w:rsidRPr="00D05E17" w:rsidRDefault="002B314D" w:rsidP="003D248E">
            <w:pPr>
              <w:rPr>
                <w:b/>
                <w:bCs/>
                <w:sz w:val="20"/>
                <w:szCs w:val="20"/>
              </w:rPr>
            </w:pPr>
          </w:p>
        </w:tc>
        <w:tc>
          <w:tcPr>
            <w:tcW w:w="968" w:type="dxa"/>
            <w:shd w:val="clear" w:color="auto" w:fill="FFFFCC"/>
            <w:vAlign w:val="center"/>
          </w:tcPr>
          <w:p w:rsidR="002B314D" w:rsidRPr="00D05E17" w:rsidRDefault="002B314D" w:rsidP="003D248E">
            <w:pPr>
              <w:jc w:val="center"/>
              <w:rPr>
                <w:b/>
                <w:bCs/>
                <w:sz w:val="20"/>
                <w:szCs w:val="20"/>
              </w:rPr>
            </w:pPr>
            <w:r w:rsidRPr="00D05E17">
              <w:rPr>
                <w:b/>
                <w:bCs/>
                <w:sz w:val="20"/>
                <w:szCs w:val="20"/>
              </w:rPr>
              <w:t>БГ</w:t>
            </w:r>
          </w:p>
        </w:tc>
        <w:tc>
          <w:tcPr>
            <w:tcW w:w="1080" w:type="dxa"/>
            <w:shd w:val="clear" w:color="auto" w:fill="FFFFCC"/>
            <w:vAlign w:val="center"/>
          </w:tcPr>
          <w:p w:rsidR="002B314D" w:rsidRPr="00D05E17" w:rsidRDefault="002B314D" w:rsidP="003D248E">
            <w:pPr>
              <w:jc w:val="center"/>
              <w:rPr>
                <w:b/>
                <w:bCs/>
                <w:sz w:val="20"/>
                <w:szCs w:val="20"/>
              </w:rPr>
            </w:pPr>
            <w:r w:rsidRPr="00D05E17">
              <w:rPr>
                <w:b/>
                <w:bCs/>
                <w:sz w:val="20"/>
                <w:szCs w:val="20"/>
              </w:rPr>
              <w:t>ЕС</w:t>
            </w:r>
          </w:p>
        </w:tc>
        <w:tc>
          <w:tcPr>
            <w:tcW w:w="1260" w:type="dxa"/>
            <w:shd w:val="clear" w:color="auto" w:fill="FFFFCC"/>
            <w:vAlign w:val="center"/>
          </w:tcPr>
          <w:p w:rsidR="002B314D" w:rsidRPr="00D05E17" w:rsidRDefault="002B314D" w:rsidP="003D248E">
            <w:pPr>
              <w:jc w:val="center"/>
              <w:rPr>
                <w:b/>
                <w:bCs/>
                <w:sz w:val="20"/>
                <w:szCs w:val="20"/>
              </w:rPr>
            </w:pPr>
            <w:r w:rsidRPr="00D05E17">
              <w:rPr>
                <w:b/>
                <w:bCs/>
                <w:sz w:val="20"/>
                <w:szCs w:val="20"/>
              </w:rPr>
              <w:t>БГ</w:t>
            </w:r>
          </w:p>
        </w:tc>
        <w:tc>
          <w:tcPr>
            <w:tcW w:w="1080" w:type="dxa"/>
            <w:shd w:val="clear" w:color="auto" w:fill="FFFFCC"/>
            <w:vAlign w:val="center"/>
          </w:tcPr>
          <w:p w:rsidR="002B314D" w:rsidRPr="00D05E17" w:rsidRDefault="002B314D" w:rsidP="003D248E">
            <w:pPr>
              <w:jc w:val="center"/>
              <w:rPr>
                <w:b/>
                <w:bCs/>
                <w:sz w:val="20"/>
                <w:szCs w:val="20"/>
              </w:rPr>
            </w:pPr>
            <w:r w:rsidRPr="00D05E17">
              <w:rPr>
                <w:b/>
                <w:bCs/>
                <w:sz w:val="20"/>
                <w:szCs w:val="20"/>
              </w:rPr>
              <w:t>ЕС</w:t>
            </w:r>
          </w:p>
        </w:tc>
        <w:tc>
          <w:tcPr>
            <w:tcW w:w="540" w:type="dxa"/>
            <w:shd w:val="clear" w:color="auto" w:fill="FFFFCC"/>
            <w:vAlign w:val="center"/>
          </w:tcPr>
          <w:p w:rsidR="002B314D" w:rsidRPr="00D05E17" w:rsidRDefault="002B314D" w:rsidP="003D248E">
            <w:pPr>
              <w:jc w:val="center"/>
              <w:rPr>
                <w:b/>
                <w:bCs/>
                <w:sz w:val="20"/>
                <w:szCs w:val="20"/>
              </w:rPr>
            </w:pPr>
            <w:r w:rsidRPr="00D05E17">
              <w:rPr>
                <w:b/>
                <w:bCs/>
                <w:sz w:val="20"/>
                <w:szCs w:val="20"/>
              </w:rPr>
              <w:t>БГ</w:t>
            </w:r>
          </w:p>
        </w:tc>
        <w:tc>
          <w:tcPr>
            <w:tcW w:w="608" w:type="dxa"/>
            <w:gridSpan w:val="2"/>
            <w:shd w:val="clear" w:color="auto" w:fill="FFFFCC"/>
            <w:vAlign w:val="center"/>
          </w:tcPr>
          <w:p w:rsidR="002B314D" w:rsidRPr="00D05E17" w:rsidRDefault="002B314D" w:rsidP="003D248E">
            <w:pPr>
              <w:jc w:val="center"/>
              <w:rPr>
                <w:b/>
                <w:bCs/>
                <w:sz w:val="20"/>
                <w:szCs w:val="20"/>
              </w:rPr>
            </w:pPr>
            <w:r w:rsidRPr="00D05E17">
              <w:rPr>
                <w:b/>
                <w:bCs/>
                <w:sz w:val="20"/>
                <w:szCs w:val="20"/>
              </w:rPr>
              <w:t>ЕС</w:t>
            </w:r>
          </w:p>
        </w:tc>
        <w:tc>
          <w:tcPr>
            <w:tcW w:w="1260" w:type="dxa"/>
            <w:vMerge/>
            <w:vAlign w:val="center"/>
          </w:tcPr>
          <w:p w:rsidR="002B314D" w:rsidRPr="00D05E17" w:rsidRDefault="002B314D" w:rsidP="003D248E">
            <w:pPr>
              <w:rPr>
                <w:b/>
                <w:bCs/>
                <w:sz w:val="20"/>
                <w:szCs w:val="20"/>
              </w:rPr>
            </w:pPr>
          </w:p>
        </w:tc>
        <w:tc>
          <w:tcPr>
            <w:tcW w:w="1080" w:type="dxa"/>
            <w:vMerge/>
            <w:vAlign w:val="center"/>
          </w:tcPr>
          <w:p w:rsidR="002B314D" w:rsidRPr="00D05E17" w:rsidRDefault="002B314D" w:rsidP="003D248E">
            <w:pPr>
              <w:rPr>
                <w:b/>
                <w:bCs/>
                <w:sz w:val="20"/>
                <w:szCs w:val="20"/>
              </w:rPr>
            </w:pPr>
          </w:p>
        </w:tc>
        <w:tc>
          <w:tcPr>
            <w:tcW w:w="1080" w:type="dxa"/>
            <w:vMerge/>
            <w:vAlign w:val="center"/>
          </w:tcPr>
          <w:p w:rsidR="002B314D" w:rsidRPr="00D05E17" w:rsidRDefault="002B314D" w:rsidP="003D248E">
            <w:pPr>
              <w:rPr>
                <w:b/>
                <w:bCs/>
                <w:sz w:val="20"/>
                <w:szCs w:val="20"/>
              </w:rPr>
            </w:pPr>
          </w:p>
        </w:tc>
      </w:tr>
      <w:tr w:rsidR="002B314D" w:rsidRPr="00D05E17" w:rsidTr="004778F4">
        <w:trPr>
          <w:trHeight w:val="330"/>
          <w:tblHeader/>
        </w:trPr>
        <w:tc>
          <w:tcPr>
            <w:tcW w:w="1883" w:type="dxa"/>
            <w:shd w:val="clear" w:color="auto" w:fill="C0C0C0"/>
            <w:vAlign w:val="center"/>
          </w:tcPr>
          <w:p w:rsidR="002B314D" w:rsidRPr="00D05E17" w:rsidRDefault="002B314D" w:rsidP="003D248E">
            <w:pPr>
              <w:jc w:val="center"/>
              <w:rPr>
                <w:b/>
                <w:bCs/>
                <w:sz w:val="20"/>
                <w:szCs w:val="20"/>
              </w:rPr>
            </w:pPr>
            <w:r w:rsidRPr="00D05E17">
              <w:rPr>
                <w:b/>
                <w:bCs/>
                <w:sz w:val="20"/>
                <w:szCs w:val="20"/>
              </w:rPr>
              <w:t>1</w:t>
            </w:r>
          </w:p>
        </w:tc>
        <w:tc>
          <w:tcPr>
            <w:tcW w:w="1433" w:type="dxa"/>
            <w:shd w:val="clear" w:color="auto" w:fill="C0C0C0"/>
            <w:vAlign w:val="center"/>
          </w:tcPr>
          <w:p w:rsidR="002B314D" w:rsidRPr="00D05E17" w:rsidRDefault="002B314D" w:rsidP="003D248E">
            <w:pPr>
              <w:jc w:val="center"/>
              <w:rPr>
                <w:b/>
                <w:bCs/>
                <w:sz w:val="20"/>
                <w:szCs w:val="20"/>
              </w:rPr>
            </w:pPr>
            <w:r w:rsidRPr="00D05E17">
              <w:rPr>
                <w:b/>
                <w:bCs/>
                <w:sz w:val="20"/>
                <w:szCs w:val="20"/>
              </w:rPr>
              <w:t>2</w:t>
            </w:r>
          </w:p>
        </w:tc>
        <w:tc>
          <w:tcPr>
            <w:tcW w:w="1742" w:type="dxa"/>
            <w:shd w:val="clear" w:color="auto" w:fill="C0C0C0"/>
            <w:vAlign w:val="center"/>
          </w:tcPr>
          <w:p w:rsidR="002B314D" w:rsidRPr="00D05E17" w:rsidRDefault="002B314D" w:rsidP="003D248E">
            <w:pPr>
              <w:jc w:val="center"/>
              <w:rPr>
                <w:b/>
                <w:bCs/>
                <w:sz w:val="20"/>
                <w:szCs w:val="20"/>
              </w:rPr>
            </w:pPr>
            <w:r w:rsidRPr="00D05E17">
              <w:rPr>
                <w:b/>
                <w:bCs/>
                <w:sz w:val="20"/>
                <w:szCs w:val="20"/>
              </w:rPr>
              <w:t>3</w:t>
            </w:r>
          </w:p>
        </w:tc>
        <w:tc>
          <w:tcPr>
            <w:tcW w:w="1189" w:type="dxa"/>
            <w:shd w:val="clear" w:color="auto" w:fill="C0C0C0"/>
            <w:vAlign w:val="center"/>
          </w:tcPr>
          <w:p w:rsidR="002B314D" w:rsidRPr="00D05E17" w:rsidRDefault="002B314D" w:rsidP="003D248E">
            <w:pPr>
              <w:jc w:val="center"/>
              <w:rPr>
                <w:b/>
                <w:bCs/>
                <w:sz w:val="20"/>
                <w:szCs w:val="20"/>
              </w:rPr>
            </w:pPr>
            <w:r w:rsidRPr="00D05E17">
              <w:rPr>
                <w:b/>
                <w:bCs/>
                <w:sz w:val="20"/>
                <w:szCs w:val="20"/>
              </w:rPr>
              <w:t>4</w:t>
            </w:r>
          </w:p>
        </w:tc>
        <w:tc>
          <w:tcPr>
            <w:tcW w:w="968" w:type="dxa"/>
            <w:shd w:val="clear" w:color="auto" w:fill="C0C0C0"/>
            <w:vAlign w:val="center"/>
          </w:tcPr>
          <w:p w:rsidR="002B314D" w:rsidRPr="00D05E17" w:rsidRDefault="002B314D" w:rsidP="003D248E">
            <w:pPr>
              <w:jc w:val="center"/>
              <w:rPr>
                <w:b/>
                <w:bCs/>
                <w:sz w:val="20"/>
                <w:szCs w:val="20"/>
              </w:rPr>
            </w:pPr>
            <w:r w:rsidRPr="00D05E17">
              <w:rPr>
                <w:b/>
                <w:bCs/>
                <w:sz w:val="20"/>
                <w:szCs w:val="20"/>
              </w:rPr>
              <w:t>5</w:t>
            </w:r>
          </w:p>
        </w:tc>
        <w:tc>
          <w:tcPr>
            <w:tcW w:w="1080" w:type="dxa"/>
            <w:shd w:val="clear" w:color="auto" w:fill="C0C0C0"/>
            <w:vAlign w:val="center"/>
          </w:tcPr>
          <w:p w:rsidR="002B314D" w:rsidRPr="00D05E17" w:rsidRDefault="002B314D" w:rsidP="003D248E">
            <w:pPr>
              <w:jc w:val="center"/>
              <w:rPr>
                <w:b/>
                <w:bCs/>
                <w:sz w:val="20"/>
                <w:szCs w:val="20"/>
              </w:rPr>
            </w:pPr>
            <w:r w:rsidRPr="00D05E17">
              <w:rPr>
                <w:b/>
                <w:bCs/>
                <w:sz w:val="20"/>
                <w:szCs w:val="20"/>
              </w:rPr>
              <w:t>6</w:t>
            </w:r>
          </w:p>
        </w:tc>
        <w:tc>
          <w:tcPr>
            <w:tcW w:w="1260" w:type="dxa"/>
            <w:shd w:val="clear" w:color="auto" w:fill="C0C0C0"/>
            <w:vAlign w:val="center"/>
          </w:tcPr>
          <w:p w:rsidR="002B314D" w:rsidRPr="00D05E17" w:rsidRDefault="002B314D" w:rsidP="003D248E">
            <w:pPr>
              <w:jc w:val="center"/>
              <w:rPr>
                <w:b/>
                <w:bCs/>
                <w:sz w:val="20"/>
                <w:szCs w:val="20"/>
              </w:rPr>
            </w:pPr>
            <w:r w:rsidRPr="00D05E17">
              <w:rPr>
                <w:b/>
                <w:bCs/>
                <w:sz w:val="20"/>
                <w:szCs w:val="20"/>
              </w:rPr>
              <w:t>7</w:t>
            </w:r>
          </w:p>
        </w:tc>
        <w:tc>
          <w:tcPr>
            <w:tcW w:w="1080" w:type="dxa"/>
            <w:shd w:val="clear" w:color="auto" w:fill="C0C0C0"/>
            <w:vAlign w:val="center"/>
          </w:tcPr>
          <w:p w:rsidR="002B314D" w:rsidRPr="00D05E17" w:rsidRDefault="002B314D" w:rsidP="003D248E">
            <w:pPr>
              <w:jc w:val="center"/>
              <w:rPr>
                <w:b/>
                <w:bCs/>
                <w:sz w:val="20"/>
                <w:szCs w:val="20"/>
              </w:rPr>
            </w:pPr>
            <w:r w:rsidRPr="00D05E17">
              <w:rPr>
                <w:b/>
                <w:bCs/>
                <w:sz w:val="20"/>
                <w:szCs w:val="20"/>
              </w:rPr>
              <w:t>8</w:t>
            </w:r>
          </w:p>
        </w:tc>
        <w:tc>
          <w:tcPr>
            <w:tcW w:w="540" w:type="dxa"/>
            <w:shd w:val="clear" w:color="auto" w:fill="C0C0C0"/>
            <w:vAlign w:val="center"/>
          </w:tcPr>
          <w:p w:rsidR="002B314D" w:rsidRPr="00D05E17" w:rsidRDefault="002B314D" w:rsidP="003D248E">
            <w:pPr>
              <w:jc w:val="center"/>
              <w:rPr>
                <w:b/>
                <w:bCs/>
                <w:sz w:val="20"/>
                <w:szCs w:val="20"/>
              </w:rPr>
            </w:pPr>
            <w:r w:rsidRPr="00D05E17">
              <w:rPr>
                <w:b/>
                <w:bCs/>
                <w:sz w:val="20"/>
                <w:szCs w:val="20"/>
              </w:rPr>
              <w:t>9</w:t>
            </w:r>
          </w:p>
        </w:tc>
        <w:tc>
          <w:tcPr>
            <w:tcW w:w="608" w:type="dxa"/>
            <w:gridSpan w:val="2"/>
            <w:shd w:val="clear" w:color="auto" w:fill="C0C0C0"/>
            <w:vAlign w:val="center"/>
          </w:tcPr>
          <w:p w:rsidR="002B314D" w:rsidRPr="00D05E17" w:rsidRDefault="002B314D" w:rsidP="003D248E">
            <w:pPr>
              <w:jc w:val="center"/>
              <w:rPr>
                <w:b/>
                <w:bCs/>
                <w:sz w:val="20"/>
                <w:szCs w:val="20"/>
                <w:lang w:val="en-US"/>
              </w:rPr>
            </w:pPr>
            <w:r w:rsidRPr="00D05E17">
              <w:rPr>
                <w:b/>
                <w:bCs/>
                <w:sz w:val="20"/>
                <w:szCs w:val="20"/>
                <w:lang w:val="en-US"/>
              </w:rPr>
              <w:t>10</w:t>
            </w:r>
          </w:p>
        </w:tc>
        <w:tc>
          <w:tcPr>
            <w:tcW w:w="1260" w:type="dxa"/>
            <w:shd w:val="clear" w:color="auto" w:fill="C0C0C0"/>
            <w:vAlign w:val="center"/>
          </w:tcPr>
          <w:p w:rsidR="002B314D" w:rsidRPr="00D05E17" w:rsidRDefault="002B314D" w:rsidP="003D248E">
            <w:pPr>
              <w:jc w:val="center"/>
              <w:rPr>
                <w:b/>
                <w:bCs/>
                <w:sz w:val="20"/>
                <w:szCs w:val="20"/>
                <w:lang w:val="en-US"/>
              </w:rPr>
            </w:pPr>
            <w:r w:rsidRPr="00D05E17">
              <w:rPr>
                <w:b/>
                <w:bCs/>
                <w:sz w:val="20"/>
                <w:szCs w:val="20"/>
              </w:rPr>
              <w:t>1</w:t>
            </w:r>
            <w:r w:rsidRPr="00D05E17">
              <w:rPr>
                <w:b/>
                <w:bCs/>
                <w:sz w:val="20"/>
                <w:szCs w:val="20"/>
                <w:lang w:val="en-US"/>
              </w:rPr>
              <w:t>1</w:t>
            </w:r>
          </w:p>
        </w:tc>
        <w:tc>
          <w:tcPr>
            <w:tcW w:w="1080" w:type="dxa"/>
            <w:shd w:val="clear" w:color="auto" w:fill="C0C0C0"/>
            <w:vAlign w:val="center"/>
          </w:tcPr>
          <w:p w:rsidR="002B314D" w:rsidRPr="00D05E17" w:rsidRDefault="002B314D" w:rsidP="003D248E">
            <w:pPr>
              <w:jc w:val="center"/>
              <w:rPr>
                <w:b/>
                <w:bCs/>
                <w:sz w:val="20"/>
                <w:szCs w:val="20"/>
                <w:lang w:val="en-US"/>
              </w:rPr>
            </w:pPr>
            <w:r w:rsidRPr="00D05E17">
              <w:rPr>
                <w:b/>
                <w:bCs/>
                <w:sz w:val="20"/>
                <w:szCs w:val="20"/>
              </w:rPr>
              <w:t>1</w:t>
            </w:r>
            <w:r w:rsidRPr="00D05E17">
              <w:rPr>
                <w:b/>
                <w:bCs/>
                <w:sz w:val="20"/>
                <w:szCs w:val="20"/>
                <w:lang w:val="en-US"/>
              </w:rPr>
              <w:t>2</w:t>
            </w:r>
          </w:p>
        </w:tc>
        <w:tc>
          <w:tcPr>
            <w:tcW w:w="1080" w:type="dxa"/>
            <w:shd w:val="clear" w:color="auto" w:fill="C0C0C0"/>
            <w:vAlign w:val="center"/>
          </w:tcPr>
          <w:p w:rsidR="002B314D" w:rsidRPr="00D05E17" w:rsidRDefault="002B314D" w:rsidP="003D248E">
            <w:pPr>
              <w:jc w:val="center"/>
              <w:rPr>
                <w:b/>
                <w:bCs/>
                <w:sz w:val="20"/>
                <w:szCs w:val="20"/>
                <w:lang w:val="en-US"/>
              </w:rPr>
            </w:pPr>
            <w:r w:rsidRPr="00D05E17">
              <w:rPr>
                <w:b/>
                <w:bCs/>
                <w:sz w:val="20"/>
                <w:szCs w:val="20"/>
              </w:rPr>
              <w:t>1</w:t>
            </w:r>
            <w:r w:rsidRPr="00D05E17">
              <w:rPr>
                <w:b/>
                <w:bCs/>
                <w:sz w:val="20"/>
                <w:szCs w:val="20"/>
                <w:lang w:val="en-US"/>
              </w:rPr>
              <w:t>3</w:t>
            </w:r>
          </w:p>
        </w:tc>
      </w:tr>
      <w:tr w:rsidR="002B314D" w:rsidRPr="00D05E17" w:rsidTr="00E20DC1">
        <w:trPr>
          <w:trHeight w:val="330"/>
        </w:trPr>
        <w:tc>
          <w:tcPr>
            <w:tcW w:w="15203" w:type="dxa"/>
            <w:gridSpan w:val="14"/>
            <w:shd w:val="clear" w:color="auto" w:fill="CCFFCC"/>
            <w:vAlign w:val="center"/>
          </w:tcPr>
          <w:p w:rsidR="002B314D" w:rsidRPr="00D05E17" w:rsidRDefault="002B314D" w:rsidP="003D248E">
            <w:pPr>
              <w:jc w:val="center"/>
              <w:rPr>
                <w:b/>
                <w:bCs/>
                <w:sz w:val="20"/>
                <w:szCs w:val="20"/>
              </w:rPr>
            </w:pPr>
            <w:r w:rsidRPr="00D05E17">
              <w:rPr>
                <w:b/>
                <w:bCs/>
                <w:sz w:val="20"/>
                <w:szCs w:val="20"/>
              </w:rPr>
              <w:t xml:space="preserve">1.  Цели относно широколентовия достъп до интернет    </w:t>
            </w:r>
          </w:p>
        </w:tc>
      </w:tr>
      <w:tr w:rsidR="002B314D" w:rsidRPr="00D05E17" w:rsidTr="00A11E39">
        <w:trPr>
          <w:trHeight w:val="1140"/>
        </w:trPr>
        <w:tc>
          <w:tcPr>
            <w:tcW w:w="1883" w:type="dxa"/>
          </w:tcPr>
          <w:p w:rsidR="002B314D" w:rsidRPr="00D05E17" w:rsidRDefault="002B314D" w:rsidP="003D248E">
            <w:pPr>
              <w:rPr>
                <w:b/>
                <w:bCs/>
                <w:sz w:val="20"/>
                <w:szCs w:val="20"/>
              </w:rPr>
            </w:pPr>
            <w:r w:rsidRPr="00D05E17">
              <w:rPr>
                <w:b/>
                <w:bCs/>
                <w:sz w:val="20"/>
                <w:szCs w:val="20"/>
              </w:rPr>
              <w:t xml:space="preserve">1.1. </w:t>
            </w:r>
            <w:r w:rsidRPr="00D05E17">
              <w:rPr>
                <w:sz w:val="20"/>
                <w:szCs w:val="20"/>
              </w:rPr>
              <w:t xml:space="preserve">Основен широколентов достъп за всички не по-късно от </w:t>
            </w:r>
            <w:smartTag w:uri="urn:schemas-microsoft-com:office:smarttags" w:element="metricconverter">
              <w:smartTagPr>
                <w:attr w:name="ProductID" w:val="2013 г"/>
              </w:smartTagPr>
              <w:r w:rsidRPr="00D05E17">
                <w:rPr>
                  <w:sz w:val="20"/>
                  <w:szCs w:val="20"/>
                </w:rPr>
                <w:t>2013 г</w:t>
              </w:r>
            </w:smartTag>
            <w:r w:rsidRPr="00D05E17">
              <w:rPr>
                <w:sz w:val="20"/>
                <w:szCs w:val="20"/>
              </w:rPr>
              <w:t>.</w:t>
            </w:r>
          </w:p>
        </w:tc>
        <w:tc>
          <w:tcPr>
            <w:tcW w:w="1433" w:type="dxa"/>
          </w:tcPr>
          <w:p w:rsidR="002B314D" w:rsidRPr="00D05E17" w:rsidRDefault="002B314D" w:rsidP="003D248E">
            <w:pPr>
              <w:rPr>
                <w:sz w:val="20"/>
                <w:szCs w:val="20"/>
              </w:rPr>
            </w:pPr>
            <w:r w:rsidRPr="00D05E17">
              <w:rPr>
                <w:sz w:val="20"/>
                <w:szCs w:val="20"/>
              </w:rPr>
              <w:t>Покритие с основен широколентов достъп на 100 % от гражданите на ЕС.</w:t>
            </w:r>
          </w:p>
        </w:tc>
        <w:tc>
          <w:tcPr>
            <w:tcW w:w="1742" w:type="dxa"/>
          </w:tcPr>
          <w:p w:rsidR="002B314D" w:rsidRPr="00D05E17" w:rsidRDefault="002B314D" w:rsidP="003D248E">
            <w:pPr>
              <w:rPr>
                <w:sz w:val="20"/>
                <w:szCs w:val="20"/>
              </w:rPr>
            </w:pPr>
            <w:r w:rsidRPr="00D05E17">
              <w:rPr>
                <w:sz w:val="20"/>
                <w:szCs w:val="20"/>
              </w:rPr>
              <w:t xml:space="preserve">Степента на покритие с достъп по технологията DSL (като % от общото население на ЕС) беше 93 % през декември </w:t>
            </w:r>
            <w:smartTag w:uri="urn:schemas-microsoft-com:office:smarttags" w:element="metricconverter">
              <w:smartTagPr>
                <w:attr w:name="ProductID" w:val="2008 г"/>
              </w:smartTagPr>
              <w:r w:rsidRPr="00D05E17">
                <w:rPr>
                  <w:sz w:val="20"/>
                  <w:szCs w:val="20"/>
                </w:rPr>
                <w:t>2008 г</w:t>
              </w:r>
            </w:smartTag>
            <w:r w:rsidRPr="00D05E17">
              <w:rPr>
                <w:sz w:val="20"/>
                <w:szCs w:val="20"/>
              </w:rPr>
              <w:t xml:space="preserve">. </w:t>
            </w:r>
          </w:p>
          <w:p w:rsidR="002B314D" w:rsidRPr="00D05E17" w:rsidRDefault="002B314D" w:rsidP="003D248E">
            <w:pPr>
              <w:rPr>
                <w:sz w:val="20"/>
                <w:szCs w:val="20"/>
              </w:rPr>
            </w:pPr>
          </w:p>
        </w:tc>
        <w:tc>
          <w:tcPr>
            <w:tcW w:w="1189" w:type="dxa"/>
          </w:tcPr>
          <w:p w:rsidR="002B314D" w:rsidRPr="00D05E17" w:rsidRDefault="002B314D" w:rsidP="003D248E">
            <w:pPr>
              <w:rPr>
                <w:sz w:val="20"/>
                <w:szCs w:val="20"/>
              </w:rPr>
            </w:pPr>
            <w:r w:rsidRPr="00D05E17">
              <w:rPr>
                <w:sz w:val="20"/>
                <w:szCs w:val="20"/>
              </w:rPr>
              <w:t>DSL , 85%/2009</w:t>
            </w:r>
          </w:p>
        </w:tc>
        <w:tc>
          <w:tcPr>
            <w:tcW w:w="968" w:type="dxa"/>
          </w:tcPr>
          <w:p w:rsidR="002B314D" w:rsidRPr="00D05E17" w:rsidRDefault="002B314D" w:rsidP="003D248E">
            <w:pPr>
              <w:rPr>
                <w:sz w:val="20"/>
                <w:szCs w:val="20"/>
              </w:rPr>
            </w:pPr>
            <w:r w:rsidRPr="00D05E17">
              <w:rPr>
                <w:sz w:val="20"/>
                <w:szCs w:val="20"/>
              </w:rPr>
              <w:t>89% станд.фиксиран шд</w:t>
            </w:r>
          </w:p>
        </w:tc>
        <w:tc>
          <w:tcPr>
            <w:tcW w:w="1080" w:type="dxa"/>
          </w:tcPr>
          <w:p w:rsidR="002B314D" w:rsidRPr="00D05E17" w:rsidRDefault="002B314D" w:rsidP="003D248E">
            <w:pPr>
              <w:rPr>
                <w:sz w:val="20"/>
                <w:szCs w:val="20"/>
              </w:rPr>
            </w:pPr>
            <w:r w:rsidRPr="00D05E17">
              <w:rPr>
                <w:sz w:val="20"/>
                <w:szCs w:val="20"/>
              </w:rPr>
              <w:t>95% станд.фиксиран шд</w:t>
            </w:r>
          </w:p>
        </w:tc>
        <w:tc>
          <w:tcPr>
            <w:tcW w:w="1260" w:type="dxa"/>
          </w:tcPr>
          <w:p w:rsidR="002B314D" w:rsidRPr="00D05E17" w:rsidRDefault="002B314D" w:rsidP="003D248E">
            <w:pPr>
              <w:rPr>
                <w:sz w:val="20"/>
                <w:szCs w:val="20"/>
              </w:rPr>
            </w:pPr>
            <w:r w:rsidRPr="00D05E17">
              <w:rPr>
                <w:sz w:val="20"/>
                <w:szCs w:val="20"/>
              </w:rPr>
              <w:t>90% станд.фиксиран шд</w:t>
            </w:r>
          </w:p>
        </w:tc>
        <w:tc>
          <w:tcPr>
            <w:tcW w:w="1080" w:type="dxa"/>
          </w:tcPr>
          <w:p w:rsidR="002B314D" w:rsidRPr="00D05E17" w:rsidRDefault="002B314D" w:rsidP="003D248E">
            <w:pPr>
              <w:rPr>
                <w:sz w:val="20"/>
                <w:szCs w:val="20"/>
              </w:rPr>
            </w:pPr>
            <w:r w:rsidRPr="00D05E17">
              <w:rPr>
                <w:sz w:val="20"/>
                <w:szCs w:val="20"/>
              </w:rPr>
              <w:t>95,5% станд.фиксиран шд</w:t>
            </w:r>
          </w:p>
        </w:tc>
        <w:tc>
          <w:tcPr>
            <w:tcW w:w="574" w:type="dxa"/>
            <w:gridSpan w:val="2"/>
          </w:tcPr>
          <w:p w:rsidR="002B314D" w:rsidRPr="00D05E17" w:rsidRDefault="002B314D" w:rsidP="003D248E">
            <w:pPr>
              <w:rPr>
                <w:sz w:val="20"/>
                <w:szCs w:val="20"/>
                <w:lang w:val="en-US"/>
              </w:rPr>
            </w:pPr>
            <w:r w:rsidRPr="00D05E17">
              <w:rPr>
                <w:sz w:val="20"/>
                <w:szCs w:val="20"/>
              </w:rPr>
              <w:t xml:space="preserve">93% </w:t>
            </w:r>
          </w:p>
        </w:tc>
        <w:tc>
          <w:tcPr>
            <w:tcW w:w="574" w:type="dxa"/>
          </w:tcPr>
          <w:p w:rsidR="002B314D" w:rsidRPr="00D05E17" w:rsidRDefault="002B314D" w:rsidP="003D248E">
            <w:pPr>
              <w:rPr>
                <w:sz w:val="20"/>
                <w:szCs w:val="20"/>
              </w:rPr>
            </w:pPr>
            <w:r w:rsidRPr="00D05E17">
              <w:rPr>
                <w:sz w:val="20"/>
                <w:szCs w:val="20"/>
              </w:rPr>
              <w:t>97%</w:t>
            </w:r>
          </w:p>
        </w:tc>
        <w:tc>
          <w:tcPr>
            <w:tcW w:w="126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r>
      <w:tr w:rsidR="002B314D" w:rsidRPr="00D05E17" w:rsidTr="00A11E39">
        <w:trPr>
          <w:trHeight w:val="915"/>
        </w:trPr>
        <w:tc>
          <w:tcPr>
            <w:tcW w:w="1883" w:type="dxa"/>
          </w:tcPr>
          <w:p w:rsidR="002B314D" w:rsidRPr="00D05E17" w:rsidRDefault="002B314D" w:rsidP="003D248E">
            <w:pPr>
              <w:rPr>
                <w:b/>
                <w:bCs/>
                <w:sz w:val="20"/>
                <w:szCs w:val="20"/>
              </w:rPr>
            </w:pPr>
            <w:r w:rsidRPr="00D05E17">
              <w:rPr>
                <w:b/>
                <w:bCs/>
                <w:sz w:val="20"/>
                <w:szCs w:val="20"/>
              </w:rPr>
              <w:t>1.2</w:t>
            </w:r>
            <w:r w:rsidRPr="00D05E17">
              <w:rPr>
                <w:sz w:val="20"/>
                <w:szCs w:val="20"/>
              </w:rPr>
              <w:t xml:space="preserve">.Въвеждане до </w:t>
            </w:r>
            <w:smartTag w:uri="urn:schemas-microsoft-com:office:smarttags" w:element="metricconverter">
              <w:smartTagPr>
                <w:attr w:name="ProductID" w:val="2020 г"/>
              </w:smartTagPr>
              <w:r w:rsidRPr="00D05E17">
                <w:rPr>
                  <w:sz w:val="20"/>
                  <w:szCs w:val="20"/>
                </w:rPr>
                <w:t>2020 г</w:t>
              </w:r>
            </w:smartTag>
            <w:r w:rsidRPr="00D05E17">
              <w:rPr>
                <w:sz w:val="20"/>
                <w:szCs w:val="20"/>
              </w:rPr>
              <w:t>. на високоскоростен широколентов достъп.</w:t>
            </w:r>
          </w:p>
        </w:tc>
        <w:tc>
          <w:tcPr>
            <w:tcW w:w="1433" w:type="dxa"/>
          </w:tcPr>
          <w:p w:rsidR="002B314D" w:rsidRPr="00D05E17" w:rsidRDefault="002B314D" w:rsidP="003D248E">
            <w:pPr>
              <w:rPr>
                <w:sz w:val="20"/>
                <w:szCs w:val="20"/>
              </w:rPr>
            </w:pPr>
            <w:r w:rsidRPr="00D05E17">
              <w:rPr>
                <w:sz w:val="20"/>
                <w:szCs w:val="20"/>
              </w:rPr>
              <w:t xml:space="preserve">  Степен на покритие с широколентов достъп със скорост 30 Mbps или повече на 100 % от гражданите на ЕС.</w:t>
            </w:r>
          </w:p>
          <w:p w:rsidR="002B314D" w:rsidRPr="00D05E17" w:rsidRDefault="002B314D" w:rsidP="003D248E">
            <w:pPr>
              <w:rPr>
                <w:sz w:val="20"/>
                <w:szCs w:val="20"/>
              </w:rPr>
            </w:pPr>
          </w:p>
        </w:tc>
        <w:tc>
          <w:tcPr>
            <w:tcW w:w="1742" w:type="dxa"/>
          </w:tcPr>
          <w:p w:rsidR="002B314D" w:rsidRPr="00D05E17" w:rsidRDefault="002B314D" w:rsidP="003D248E">
            <w:pPr>
              <w:rPr>
                <w:sz w:val="20"/>
                <w:szCs w:val="20"/>
              </w:rPr>
            </w:pPr>
            <w:r w:rsidRPr="00D05E17">
              <w:rPr>
                <w:sz w:val="20"/>
                <w:szCs w:val="20"/>
              </w:rPr>
              <w:t>При 23 % от абонатните линии за широколентов достъп скоростта беше поне 10 Mbps през януари 2010 г.</w:t>
            </w:r>
          </w:p>
        </w:tc>
        <w:tc>
          <w:tcPr>
            <w:tcW w:w="1189" w:type="dxa"/>
          </w:tcPr>
          <w:p w:rsidR="002B314D" w:rsidRPr="00D05E17" w:rsidRDefault="002B314D" w:rsidP="003D248E">
            <w:pPr>
              <w:rPr>
                <w:sz w:val="20"/>
                <w:szCs w:val="20"/>
              </w:rPr>
            </w:pPr>
            <w:r w:rsidRPr="00D05E17">
              <w:rPr>
                <w:sz w:val="20"/>
                <w:szCs w:val="20"/>
              </w:rPr>
              <w:t>95,6%  над  2 Mbps/2009</w:t>
            </w:r>
          </w:p>
        </w:tc>
        <w:tc>
          <w:tcPr>
            <w:tcW w:w="968" w:type="dxa"/>
          </w:tcPr>
          <w:p w:rsidR="002B314D" w:rsidRPr="00D05E17" w:rsidRDefault="002B314D" w:rsidP="003D248E">
            <w:pPr>
              <w:rPr>
                <w:sz w:val="20"/>
                <w:szCs w:val="20"/>
              </w:rPr>
            </w:pPr>
            <w:r w:rsidRPr="00D05E17">
              <w:rPr>
                <w:sz w:val="20"/>
                <w:szCs w:val="20"/>
              </w:rPr>
              <w:t>59% ново поколение шд</w:t>
            </w:r>
          </w:p>
        </w:tc>
        <w:tc>
          <w:tcPr>
            <w:tcW w:w="1080" w:type="dxa"/>
          </w:tcPr>
          <w:p w:rsidR="002B314D" w:rsidRPr="00D05E17" w:rsidRDefault="002B314D" w:rsidP="003D248E">
            <w:pPr>
              <w:rPr>
                <w:sz w:val="20"/>
                <w:szCs w:val="20"/>
              </w:rPr>
            </w:pPr>
            <w:r w:rsidRPr="00D05E17">
              <w:rPr>
                <w:sz w:val="20"/>
                <w:szCs w:val="20"/>
              </w:rPr>
              <w:t>48% ново поколение шд</w:t>
            </w:r>
          </w:p>
        </w:tc>
        <w:tc>
          <w:tcPr>
            <w:tcW w:w="1260" w:type="dxa"/>
          </w:tcPr>
          <w:p w:rsidR="002B314D" w:rsidRPr="00D05E17" w:rsidRDefault="002B314D" w:rsidP="003D248E">
            <w:pPr>
              <w:rPr>
                <w:sz w:val="20"/>
                <w:szCs w:val="20"/>
              </w:rPr>
            </w:pPr>
            <w:r w:rsidRPr="00D05E17">
              <w:rPr>
                <w:sz w:val="20"/>
                <w:szCs w:val="20"/>
              </w:rPr>
              <w:t>61%  ново поколение шд</w:t>
            </w:r>
          </w:p>
        </w:tc>
        <w:tc>
          <w:tcPr>
            <w:tcW w:w="1080" w:type="dxa"/>
          </w:tcPr>
          <w:p w:rsidR="002B314D" w:rsidRPr="00D05E17" w:rsidRDefault="002B314D" w:rsidP="003D248E">
            <w:pPr>
              <w:rPr>
                <w:sz w:val="20"/>
                <w:szCs w:val="20"/>
              </w:rPr>
            </w:pPr>
            <w:r w:rsidRPr="00D05E17">
              <w:rPr>
                <w:sz w:val="20"/>
                <w:szCs w:val="20"/>
              </w:rPr>
              <w:t>54%  ново поколение шд</w:t>
            </w:r>
          </w:p>
        </w:tc>
        <w:tc>
          <w:tcPr>
            <w:tcW w:w="574" w:type="dxa"/>
            <w:gridSpan w:val="2"/>
          </w:tcPr>
          <w:p w:rsidR="002B314D" w:rsidRPr="00D05E17" w:rsidRDefault="002B314D" w:rsidP="003D248E">
            <w:pPr>
              <w:rPr>
                <w:sz w:val="20"/>
                <w:szCs w:val="20"/>
              </w:rPr>
            </w:pPr>
            <w:r w:rsidRPr="00D05E17">
              <w:rPr>
                <w:sz w:val="20"/>
                <w:szCs w:val="20"/>
              </w:rPr>
              <w:t xml:space="preserve"> 68%  </w:t>
            </w:r>
          </w:p>
        </w:tc>
        <w:tc>
          <w:tcPr>
            <w:tcW w:w="574" w:type="dxa"/>
          </w:tcPr>
          <w:p w:rsidR="002B314D" w:rsidRPr="00D05E17" w:rsidRDefault="002B314D" w:rsidP="003D248E">
            <w:pPr>
              <w:rPr>
                <w:sz w:val="20"/>
                <w:szCs w:val="20"/>
              </w:rPr>
            </w:pPr>
            <w:r w:rsidRPr="00D05E17">
              <w:rPr>
                <w:sz w:val="20"/>
                <w:szCs w:val="20"/>
              </w:rPr>
              <w:t xml:space="preserve">62% </w:t>
            </w:r>
          </w:p>
        </w:tc>
        <w:tc>
          <w:tcPr>
            <w:tcW w:w="1260" w:type="dxa"/>
          </w:tcPr>
          <w:p w:rsidR="002B314D" w:rsidRPr="00D05E17" w:rsidRDefault="002B314D" w:rsidP="003D248E">
            <w:pPr>
              <w:rPr>
                <w:sz w:val="20"/>
                <w:szCs w:val="20"/>
              </w:rPr>
            </w:pPr>
            <w:r w:rsidRPr="00D05E17">
              <w:rPr>
                <w:sz w:val="20"/>
                <w:szCs w:val="20"/>
              </w:rPr>
              <w:t>цел 100%</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r>
      <w:tr w:rsidR="002B314D" w:rsidRPr="00D05E17" w:rsidTr="00A11E39">
        <w:trPr>
          <w:trHeight w:val="690"/>
        </w:trPr>
        <w:tc>
          <w:tcPr>
            <w:tcW w:w="1883" w:type="dxa"/>
          </w:tcPr>
          <w:p w:rsidR="002B314D" w:rsidRPr="00D05E17" w:rsidRDefault="002B314D" w:rsidP="003D248E">
            <w:pPr>
              <w:rPr>
                <w:b/>
                <w:bCs/>
                <w:sz w:val="20"/>
                <w:szCs w:val="20"/>
              </w:rPr>
            </w:pPr>
            <w:r w:rsidRPr="00D05E17">
              <w:rPr>
                <w:b/>
                <w:bCs/>
                <w:sz w:val="20"/>
                <w:szCs w:val="20"/>
              </w:rPr>
              <w:t>1.3</w:t>
            </w:r>
            <w:r w:rsidRPr="00D05E17">
              <w:rPr>
                <w:sz w:val="20"/>
                <w:szCs w:val="20"/>
              </w:rPr>
              <w:t xml:space="preserve">.Въвеждане до </w:t>
            </w:r>
            <w:smartTag w:uri="urn:schemas-microsoft-com:office:smarttags" w:element="metricconverter">
              <w:smartTagPr>
                <w:attr w:name="ProductID" w:val="2020 г"/>
              </w:smartTagPr>
              <w:r w:rsidRPr="00D05E17">
                <w:rPr>
                  <w:sz w:val="20"/>
                  <w:szCs w:val="20"/>
                </w:rPr>
                <w:t>2020 г</w:t>
              </w:r>
            </w:smartTag>
            <w:r w:rsidRPr="00D05E17">
              <w:rPr>
                <w:sz w:val="20"/>
                <w:szCs w:val="20"/>
              </w:rPr>
              <w:t>. на свръхвисокоскоростен широколентов достъп.</w:t>
            </w:r>
          </w:p>
        </w:tc>
        <w:tc>
          <w:tcPr>
            <w:tcW w:w="1433" w:type="dxa"/>
          </w:tcPr>
          <w:p w:rsidR="002B314D" w:rsidRPr="00D05E17" w:rsidRDefault="002B314D" w:rsidP="003D248E">
            <w:pPr>
              <w:rPr>
                <w:sz w:val="20"/>
                <w:szCs w:val="20"/>
              </w:rPr>
            </w:pPr>
            <w:r w:rsidRPr="00D05E17">
              <w:rPr>
                <w:sz w:val="20"/>
                <w:szCs w:val="20"/>
              </w:rPr>
              <w:t>50 % домакинства следва да разполагат с достъп със скорост над 100 Mbps</w:t>
            </w:r>
          </w:p>
        </w:tc>
        <w:tc>
          <w:tcPr>
            <w:tcW w:w="1742" w:type="dxa"/>
          </w:tcPr>
          <w:p w:rsidR="002B314D" w:rsidRPr="00D05E17" w:rsidRDefault="002B314D" w:rsidP="003D248E">
            <w:pPr>
              <w:rPr>
                <w:sz w:val="20"/>
                <w:szCs w:val="20"/>
              </w:rPr>
            </w:pPr>
            <w:r w:rsidRPr="00D05E17">
              <w:rPr>
                <w:sz w:val="20"/>
                <w:szCs w:val="20"/>
              </w:rPr>
              <w:t>Липсва изходно равнище.</w:t>
            </w:r>
          </w:p>
        </w:tc>
        <w:tc>
          <w:tcPr>
            <w:tcW w:w="1189" w:type="dxa"/>
          </w:tcPr>
          <w:p w:rsidR="002B314D" w:rsidRPr="00D05E17" w:rsidRDefault="002B314D" w:rsidP="003D248E">
            <w:pPr>
              <w:rPr>
                <w:sz w:val="20"/>
                <w:szCs w:val="20"/>
              </w:rPr>
            </w:pPr>
            <w:r w:rsidRPr="00D05E17">
              <w:rPr>
                <w:sz w:val="20"/>
                <w:szCs w:val="20"/>
              </w:rPr>
              <w:t> </w:t>
            </w:r>
          </w:p>
        </w:tc>
        <w:tc>
          <w:tcPr>
            <w:tcW w:w="968" w:type="dxa"/>
          </w:tcPr>
          <w:p w:rsidR="002B314D" w:rsidRPr="00D05E17" w:rsidRDefault="002B314D" w:rsidP="003D248E">
            <w:pPr>
              <w:rPr>
                <w:sz w:val="20"/>
                <w:szCs w:val="20"/>
              </w:rPr>
            </w:pPr>
            <w:r w:rsidRPr="00D05E17">
              <w:rPr>
                <w:sz w:val="20"/>
                <w:szCs w:val="20"/>
              </w:rPr>
              <w:t>0%</w:t>
            </w:r>
          </w:p>
        </w:tc>
        <w:tc>
          <w:tcPr>
            <w:tcW w:w="1080" w:type="dxa"/>
          </w:tcPr>
          <w:p w:rsidR="002B314D" w:rsidRPr="00D05E17" w:rsidRDefault="002B314D" w:rsidP="003D248E">
            <w:pPr>
              <w:rPr>
                <w:sz w:val="20"/>
                <w:szCs w:val="20"/>
              </w:rPr>
            </w:pPr>
            <w:r w:rsidRPr="00D05E17">
              <w:rPr>
                <w:sz w:val="20"/>
                <w:szCs w:val="20"/>
              </w:rPr>
              <w:t>1%</w:t>
            </w:r>
          </w:p>
        </w:tc>
        <w:tc>
          <w:tcPr>
            <w:tcW w:w="1260" w:type="dxa"/>
          </w:tcPr>
          <w:p w:rsidR="002B314D" w:rsidRPr="00D05E17" w:rsidRDefault="002B314D" w:rsidP="003D248E">
            <w:pPr>
              <w:rPr>
                <w:sz w:val="20"/>
                <w:szCs w:val="20"/>
              </w:rPr>
            </w:pPr>
            <w:r w:rsidRPr="00D05E17">
              <w:rPr>
                <w:sz w:val="20"/>
                <w:szCs w:val="20"/>
              </w:rPr>
              <w:t>1%</w:t>
            </w:r>
          </w:p>
        </w:tc>
        <w:tc>
          <w:tcPr>
            <w:tcW w:w="1080" w:type="dxa"/>
          </w:tcPr>
          <w:p w:rsidR="002B314D" w:rsidRPr="00D05E17" w:rsidRDefault="002B314D" w:rsidP="003D248E">
            <w:pPr>
              <w:rPr>
                <w:sz w:val="20"/>
                <w:szCs w:val="20"/>
              </w:rPr>
            </w:pPr>
            <w:r w:rsidRPr="00D05E17">
              <w:rPr>
                <w:sz w:val="20"/>
                <w:szCs w:val="20"/>
              </w:rPr>
              <w:t>3%</w:t>
            </w:r>
          </w:p>
        </w:tc>
        <w:tc>
          <w:tcPr>
            <w:tcW w:w="574" w:type="dxa"/>
            <w:gridSpan w:val="2"/>
          </w:tcPr>
          <w:p w:rsidR="002B314D" w:rsidRPr="00D05E17" w:rsidRDefault="002B314D" w:rsidP="003D248E">
            <w:pPr>
              <w:rPr>
                <w:sz w:val="20"/>
                <w:szCs w:val="20"/>
              </w:rPr>
            </w:pPr>
            <w:r w:rsidRPr="00D05E17">
              <w:rPr>
                <w:sz w:val="20"/>
                <w:szCs w:val="20"/>
              </w:rPr>
              <w:t xml:space="preserve"> 3% </w:t>
            </w:r>
          </w:p>
        </w:tc>
        <w:tc>
          <w:tcPr>
            <w:tcW w:w="574" w:type="dxa"/>
          </w:tcPr>
          <w:p w:rsidR="002B314D" w:rsidRPr="00D05E17" w:rsidRDefault="002B314D" w:rsidP="003D248E">
            <w:pPr>
              <w:rPr>
                <w:sz w:val="20"/>
                <w:szCs w:val="20"/>
              </w:rPr>
            </w:pPr>
            <w:r w:rsidRPr="00D05E17">
              <w:rPr>
                <w:sz w:val="20"/>
                <w:szCs w:val="20"/>
              </w:rPr>
              <w:t xml:space="preserve">5% </w:t>
            </w:r>
          </w:p>
        </w:tc>
        <w:tc>
          <w:tcPr>
            <w:tcW w:w="1260" w:type="dxa"/>
          </w:tcPr>
          <w:p w:rsidR="002B314D" w:rsidRPr="00D05E17" w:rsidRDefault="002B314D" w:rsidP="003D248E">
            <w:pPr>
              <w:rPr>
                <w:sz w:val="20"/>
                <w:szCs w:val="20"/>
              </w:rPr>
            </w:pPr>
            <w:r w:rsidRPr="00D05E17">
              <w:rPr>
                <w:sz w:val="20"/>
                <w:szCs w:val="20"/>
              </w:rPr>
              <w:t>цел 15%</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цел 50%</w:t>
            </w:r>
          </w:p>
        </w:tc>
      </w:tr>
      <w:tr w:rsidR="002B314D" w:rsidRPr="00D05E17" w:rsidTr="00E20DC1">
        <w:trPr>
          <w:trHeight w:val="330"/>
        </w:trPr>
        <w:tc>
          <w:tcPr>
            <w:tcW w:w="15203" w:type="dxa"/>
            <w:gridSpan w:val="14"/>
            <w:shd w:val="clear" w:color="auto" w:fill="CCFFCC"/>
            <w:vAlign w:val="center"/>
          </w:tcPr>
          <w:p w:rsidR="002B314D" w:rsidRPr="00D05E17" w:rsidRDefault="002B314D" w:rsidP="003D248E">
            <w:pPr>
              <w:jc w:val="center"/>
              <w:rPr>
                <w:b/>
                <w:bCs/>
                <w:sz w:val="20"/>
                <w:szCs w:val="20"/>
              </w:rPr>
            </w:pPr>
            <w:r w:rsidRPr="00D05E17">
              <w:rPr>
                <w:b/>
                <w:bCs/>
                <w:sz w:val="20"/>
                <w:szCs w:val="20"/>
              </w:rPr>
              <w:t xml:space="preserve"> 2. Приобщаване към цифровото общество    </w:t>
            </w:r>
          </w:p>
        </w:tc>
      </w:tr>
      <w:tr w:rsidR="002B314D" w:rsidRPr="00D05E17" w:rsidTr="00E67941">
        <w:trPr>
          <w:trHeight w:val="1590"/>
        </w:trPr>
        <w:tc>
          <w:tcPr>
            <w:tcW w:w="1883" w:type="dxa"/>
            <w:vMerge w:val="restart"/>
          </w:tcPr>
          <w:p w:rsidR="002B314D" w:rsidRPr="00D05E17" w:rsidRDefault="002B314D" w:rsidP="003D248E">
            <w:pPr>
              <w:rPr>
                <w:b/>
                <w:bCs/>
                <w:sz w:val="20"/>
                <w:szCs w:val="20"/>
              </w:rPr>
            </w:pPr>
            <w:r w:rsidRPr="00D05E17">
              <w:rPr>
                <w:b/>
                <w:bCs/>
                <w:sz w:val="20"/>
                <w:szCs w:val="20"/>
              </w:rPr>
              <w:t>2.1</w:t>
            </w:r>
            <w:r w:rsidRPr="00D05E17">
              <w:rPr>
                <w:sz w:val="20"/>
                <w:szCs w:val="20"/>
              </w:rPr>
              <w:t xml:space="preserve">.Нарастване на дела на редовните потребители на интернет от 60 % от населението на 75 % до </w:t>
            </w:r>
            <w:smartTag w:uri="urn:schemas-microsoft-com:office:smarttags" w:element="metricconverter">
              <w:smartTagPr>
                <w:attr w:name="ProductID" w:val="2015 г"/>
              </w:smartTagPr>
              <w:r w:rsidRPr="00D05E17">
                <w:rPr>
                  <w:sz w:val="20"/>
                  <w:szCs w:val="20"/>
                </w:rPr>
                <w:t>2015 г</w:t>
              </w:r>
            </w:smartTag>
            <w:r w:rsidRPr="00D05E17">
              <w:rPr>
                <w:sz w:val="20"/>
                <w:szCs w:val="20"/>
              </w:rPr>
              <w:t xml:space="preserve">., а за хората в неравностойно положение — от 41 % на 60 %. </w:t>
            </w:r>
          </w:p>
        </w:tc>
        <w:tc>
          <w:tcPr>
            <w:tcW w:w="1433" w:type="dxa"/>
            <w:vMerge w:val="restart"/>
          </w:tcPr>
          <w:p w:rsidR="002B314D" w:rsidRPr="00D05E17" w:rsidRDefault="002B314D" w:rsidP="003D248E">
            <w:pPr>
              <w:rPr>
                <w:sz w:val="20"/>
                <w:szCs w:val="20"/>
              </w:rPr>
            </w:pPr>
            <w:r w:rsidRPr="00D05E17">
              <w:rPr>
                <w:sz w:val="20"/>
                <w:szCs w:val="20"/>
              </w:rPr>
              <w:t xml:space="preserve">Нарастване на дела на редовните потребители на интернет от 60 % от населението на 75 % до 2015 г., а за хората в неравностойно положение — от 41 % на 60 %. </w:t>
            </w:r>
          </w:p>
        </w:tc>
        <w:tc>
          <w:tcPr>
            <w:tcW w:w="1742" w:type="dxa"/>
            <w:vMerge w:val="restart"/>
          </w:tcPr>
          <w:p w:rsidR="002B314D" w:rsidRPr="00D05E17" w:rsidRDefault="002B314D" w:rsidP="003D248E">
            <w:pPr>
              <w:rPr>
                <w:sz w:val="20"/>
                <w:szCs w:val="20"/>
              </w:rPr>
            </w:pPr>
            <w:r w:rsidRPr="00D05E17">
              <w:rPr>
                <w:sz w:val="20"/>
                <w:szCs w:val="20"/>
              </w:rPr>
              <w:t>Данните за изходното равнище са за 2009 г</w:t>
            </w:r>
          </w:p>
        </w:tc>
        <w:tc>
          <w:tcPr>
            <w:tcW w:w="1189" w:type="dxa"/>
            <w:vMerge w:val="restart"/>
          </w:tcPr>
          <w:p w:rsidR="002B314D" w:rsidRPr="00D05E17" w:rsidRDefault="002B314D" w:rsidP="003D248E">
            <w:pPr>
              <w:rPr>
                <w:sz w:val="20"/>
                <w:szCs w:val="20"/>
              </w:rPr>
            </w:pPr>
            <w:r w:rsidRPr="00D05E17">
              <w:rPr>
                <w:sz w:val="20"/>
                <w:szCs w:val="20"/>
              </w:rPr>
              <w:t>40%/2009 редовни потребители на интернет</w:t>
            </w:r>
          </w:p>
        </w:tc>
        <w:tc>
          <w:tcPr>
            <w:tcW w:w="968" w:type="dxa"/>
            <w:vMerge w:val="restart"/>
          </w:tcPr>
          <w:p w:rsidR="002B314D" w:rsidRPr="00D05E17" w:rsidRDefault="002B314D" w:rsidP="003D248E">
            <w:pPr>
              <w:rPr>
                <w:sz w:val="20"/>
                <w:szCs w:val="20"/>
              </w:rPr>
            </w:pPr>
            <w:r w:rsidRPr="00D05E17">
              <w:rPr>
                <w:sz w:val="20"/>
                <w:szCs w:val="20"/>
              </w:rPr>
              <w:br/>
            </w:r>
            <w:r w:rsidRPr="00D05E17">
              <w:rPr>
                <w:sz w:val="20"/>
                <w:szCs w:val="20"/>
              </w:rPr>
              <w:br/>
              <w:t>46,4% ред.потребители</w:t>
            </w:r>
            <w:r w:rsidRPr="00D05E17">
              <w:rPr>
                <w:sz w:val="20"/>
                <w:szCs w:val="20"/>
              </w:rPr>
              <w:br/>
            </w:r>
            <w:r w:rsidRPr="00D05E17">
              <w:rPr>
                <w:sz w:val="20"/>
                <w:szCs w:val="20"/>
              </w:rPr>
              <w:br/>
              <w:t>26.6%</w:t>
            </w:r>
            <w:r w:rsidRPr="00D05E17">
              <w:rPr>
                <w:sz w:val="20"/>
                <w:szCs w:val="20"/>
              </w:rPr>
              <w:br/>
              <w:t>в неравност. пол.</w:t>
            </w:r>
          </w:p>
        </w:tc>
        <w:tc>
          <w:tcPr>
            <w:tcW w:w="1080" w:type="dxa"/>
            <w:vMerge w:val="restart"/>
          </w:tcPr>
          <w:p w:rsidR="002B314D" w:rsidRPr="00D05E17" w:rsidRDefault="002B314D" w:rsidP="003D248E">
            <w:pPr>
              <w:spacing w:after="240"/>
              <w:rPr>
                <w:sz w:val="20"/>
                <w:szCs w:val="20"/>
              </w:rPr>
            </w:pPr>
            <w:r w:rsidRPr="00D05E17">
              <w:rPr>
                <w:sz w:val="20"/>
                <w:szCs w:val="20"/>
              </w:rPr>
              <w:t xml:space="preserve"> 67,5%</w:t>
            </w:r>
            <w:r w:rsidRPr="00D05E17">
              <w:rPr>
                <w:sz w:val="20"/>
                <w:szCs w:val="20"/>
              </w:rPr>
              <w:br/>
              <w:t>ред.потребители</w:t>
            </w:r>
            <w:r w:rsidRPr="00D05E17">
              <w:rPr>
                <w:sz w:val="20"/>
                <w:szCs w:val="20"/>
              </w:rPr>
              <w:br/>
            </w:r>
            <w:r w:rsidRPr="00D05E17">
              <w:rPr>
                <w:sz w:val="20"/>
                <w:szCs w:val="20"/>
              </w:rPr>
              <w:br/>
              <w:t>51%</w:t>
            </w:r>
            <w:r w:rsidRPr="00D05E17">
              <w:rPr>
                <w:sz w:val="20"/>
                <w:szCs w:val="20"/>
              </w:rPr>
              <w:br/>
              <w:t>в неравност.пол.</w:t>
            </w:r>
          </w:p>
        </w:tc>
        <w:tc>
          <w:tcPr>
            <w:tcW w:w="1260" w:type="dxa"/>
            <w:vMerge w:val="restart"/>
          </w:tcPr>
          <w:p w:rsidR="002B314D" w:rsidRPr="00D05E17" w:rsidRDefault="002B314D" w:rsidP="003D248E">
            <w:pPr>
              <w:rPr>
                <w:sz w:val="20"/>
                <w:szCs w:val="20"/>
              </w:rPr>
            </w:pPr>
            <w:r w:rsidRPr="00D05E17">
              <w:rPr>
                <w:sz w:val="20"/>
                <w:szCs w:val="20"/>
              </w:rPr>
              <w:br/>
              <w:t xml:space="preserve"> 50%</w:t>
            </w:r>
            <w:r w:rsidRPr="00D05E17">
              <w:rPr>
                <w:sz w:val="20"/>
                <w:szCs w:val="20"/>
              </w:rPr>
              <w:br/>
              <w:t>ред.потребители</w:t>
            </w:r>
            <w:r w:rsidRPr="00D05E17">
              <w:rPr>
                <w:sz w:val="20"/>
                <w:szCs w:val="20"/>
              </w:rPr>
              <w:br/>
            </w:r>
            <w:r w:rsidRPr="00D05E17">
              <w:rPr>
                <w:sz w:val="20"/>
                <w:szCs w:val="20"/>
              </w:rPr>
              <w:br/>
              <w:t>29%</w:t>
            </w:r>
            <w:r w:rsidRPr="00D05E17">
              <w:rPr>
                <w:sz w:val="20"/>
                <w:szCs w:val="20"/>
              </w:rPr>
              <w:br/>
              <w:t>в неравност.пол.</w:t>
            </w:r>
          </w:p>
        </w:tc>
        <w:tc>
          <w:tcPr>
            <w:tcW w:w="1080" w:type="dxa"/>
            <w:vMerge w:val="restart"/>
          </w:tcPr>
          <w:p w:rsidR="002B314D" w:rsidRPr="00D05E17" w:rsidRDefault="002B314D" w:rsidP="003D248E">
            <w:pPr>
              <w:spacing w:after="240"/>
              <w:rPr>
                <w:sz w:val="20"/>
                <w:szCs w:val="20"/>
              </w:rPr>
            </w:pPr>
            <w:r w:rsidRPr="00D05E17">
              <w:rPr>
                <w:sz w:val="20"/>
                <w:szCs w:val="20"/>
              </w:rPr>
              <w:t xml:space="preserve"> 70%</w:t>
            </w:r>
            <w:r w:rsidRPr="00D05E17">
              <w:rPr>
                <w:sz w:val="20"/>
                <w:szCs w:val="20"/>
              </w:rPr>
              <w:br/>
              <w:t>ред.потребители</w:t>
            </w:r>
            <w:r w:rsidRPr="00D05E17">
              <w:rPr>
                <w:sz w:val="20"/>
                <w:szCs w:val="20"/>
              </w:rPr>
              <w:br/>
              <w:t>54 % в неравност.пол.</w:t>
            </w:r>
          </w:p>
        </w:tc>
        <w:tc>
          <w:tcPr>
            <w:tcW w:w="574" w:type="dxa"/>
            <w:gridSpan w:val="2"/>
          </w:tcPr>
          <w:p w:rsidR="002B314D" w:rsidRPr="00D05E17" w:rsidRDefault="002B314D" w:rsidP="003D248E">
            <w:pPr>
              <w:rPr>
                <w:sz w:val="20"/>
                <w:szCs w:val="20"/>
              </w:rPr>
            </w:pPr>
            <w:r w:rsidRPr="00D05E17">
              <w:rPr>
                <w:sz w:val="20"/>
                <w:szCs w:val="20"/>
              </w:rPr>
              <w:t xml:space="preserve">51% редовни потребители </w:t>
            </w:r>
          </w:p>
          <w:p w:rsidR="002B314D" w:rsidRPr="00D05E17" w:rsidRDefault="002B314D" w:rsidP="003D248E">
            <w:pPr>
              <w:rPr>
                <w:sz w:val="20"/>
                <w:szCs w:val="20"/>
              </w:rPr>
            </w:pPr>
          </w:p>
        </w:tc>
        <w:tc>
          <w:tcPr>
            <w:tcW w:w="574" w:type="dxa"/>
          </w:tcPr>
          <w:p w:rsidR="002B314D" w:rsidRPr="00D05E17" w:rsidRDefault="002B314D" w:rsidP="003D248E">
            <w:pPr>
              <w:rPr>
                <w:sz w:val="20"/>
                <w:szCs w:val="20"/>
              </w:rPr>
            </w:pPr>
            <w:r w:rsidRPr="00D05E17">
              <w:rPr>
                <w:sz w:val="20"/>
                <w:szCs w:val="20"/>
              </w:rPr>
              <w:t>72%</w:t>
            </w:r>
            <w:r w:rsidRPr="00D05E17">
              <w:rPr>
                <w:sz w:val="20"/>
                <w:szCs w:val="20"/>
              </w:rPr>
              <w:br/>
            </w:r>
            <w:r w:rsidRPr="00D05E17">
              <w:rPr>
                <w:sz w:val="20"/>
                <w:szCs w:val="20"/>
              </w:rPr>
              <w:br/>
            </w: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color w:val="FF0000"/>
                <w:sz w:val="20"/>
                <w:szCs w:val="20"/>
              </w:rPr>
            </w:pPr>
          </w:p>
        </w:tc>
        <w:tc>
          <w:tcPr>
            <w:tcW w:w="1260" w:type="dxa"/>
          </w:tcPr>
          <w:p w:rsidR="002B314D" w:rsidRPr="00D05E17" w:rsidRDefault="002B314D" w:rsidP="003D248E">
            <w:pPr>
              <w:rPr>
                <w:sz w:val="20"/>
                <w:szCs w:val="20"/>
              </w:rPr>
            </w:pPr>
            <w:r w:rsidRPr="00D05E17">
              <w:rPr>
                <w:sz w:val="20"/>
                <w:szCs w:val="20"/>
              </w:rPr>
              <w:t>цел 75% ред.потреб. на интернет</w:t>
            </w:r>
            <w:r w:rsidRPr="00D05E17">
              <w:rPr>
                <w:sz w:val="20"/>
                <w:szCs w:val="20"/>
              </w:rPr>
              <w:br/>
            </w:r>
            <w:r w:rsidRPr="00D05E17">
              <w:rPr>
                <w:sz w:val="20"/>
                <w:szCs w:val="20"/>
              </w:rPr>
              <w:br/>
            </w:r>
          </w:p>
          <w:p w:rsidR="002B314D" w:rsidRPr="00D05E17" w:rsidRDefault="002B314D" w:rsidP="003D248E">
            <w:pPr>
              <w:rPr>
                <w:sz w:val="20"/>
                <w:szCs w:val="20"/>
              </w:rPr>
            </w:pPr>
          </w:p>
          <w:p w:rsidR="002B314D" w:rsidRPr="00D05E17" w:rsidRDefault="002B314D" w:rsidP="003D248E">
            <w:pPr>
              <w:rPr>
                <w:sz w:val="20"/>
                <w:szCs w:val="20"/>
              </w:rPr>
            </w:pPr>
          </w:p>
        </w:tc>
        <w:tc>
          <w:tcPr>
            <w:tcW w:w="1080" w:type="dxa"/>
            <w:vMerge w:val="restart"/>
          </w:tcPr>
          <w:p w:rsidR="002B314D" w:rsidRPr="00D05E17" w:rsidRDefault="002B314D" w:rsidP="003D248E">
            <w:pPr>
              <w:rPr>
                <w:sz w:val="20"/>
                <w:szCs w:val="20"/>
              </w:rPr>
            </w:pPr>
            <w:r w:rsidRPr="00D05E17">
              <w:rPr>
                <w:sz w:val="20"/>
                <w:szCs w:val="20"/>
              </w:rPr>
              <w:t> </w:t>
            </w:r>
          </w:p>
        </w:tc>
        <w:tc>
          <w:tcPr>
            <w:tcW w:w="1080" w:type="dxa"/>
            <w:vMerge w:val="restart"/>
          </w:tcPr>
          <w:p w:rsidR="002B314D" w:rsidRPr="00D05E17" w:rsidRDefault="002B314D" w:rsidP="003D248E">
            <w:pPr>
              <w:rPr>
                <w:sz w:val="20"/>
                <w:szCs w:val="20"/>
              </w:rPr>
            </w:pPr>
            <w:r w:rsidRPr="00D05E17">
              <w:rPr>
                <w:sz w:val="20"/>
                <w:szCs w:val="20"/>
              </w:rPr>
              <w:t> </w:t>
            </w:r>
          </w:p>
        </w:tc>
      </w:tr>
      <w:tr w:rsidR="002B314D" w:rsidRPr="00D05E17" w:rsidTr="00A11E39">
        <w:trPr>
          <w:trHeight w:val="2310"/>
        </w:trPr>
        <w:tc>
          <w:tcPr>
            <w:tcW w:w="1883" w:type="dxa"/>
            <w:vMerge/>
          </w:tcPr>
          <w:p w:rsidR="002B314D" w:rsidRPr="00D05E17" w:rsidRDefault="002B314D" w:rsidP="003D248E">
            <w:pPr>
              <w:rPr>
                <w:b/>
                <w:bCs/>
                <w:sz w:val="20"/>
                <w:szCs w:val="20"/>
              </w:rPr>
            </w:pPr>
          </w:p>
        </w:tc>
        <w:tc>
          <w:tcPr>
            <w:tcW w:w="1433" w:type="dxa"/>
            <w:vMerge/>
          </w:tcPr>
          <w:p w:rsidR="002B314D" w:rsidRPr="00D05E17" w:rsidRDefault="002B314D" w:rsidP="003D248E">
            <w:pPr>
              <w:rPr>
                <w:sz w:val="20"/>
                <w:szCs w:val="20"/>
              </w:rPr>
            </w:pPr>
          </w:p>
        </w:tc>
        <w:tc>
          <w:tcPr>
            <w:tcW w:w="1742" w:type="dxa"/>
            <w:vMerge/>
          </w:tcPr>
          <w:p w:rsidR="002B314D" w:rsidRPr="00D05E17" w:rsidRDefault="002B314D" w:rsidP="003D248E">
            <w:pPr>
              <w:rPr>
                <w:sz w:val="20"/>
                <w:szCs w:val="20"/>
              </w:rPr>
            </w:pPr>
          </w:p>
        </w:tc>
        <w:tc>
          <w:tcPr>
            <w:tcW w:w="1189" w:type="dxa"/>
            <w:vMerge/>
          </w:tcPr>
          <w:p w:rsidR="002B314D" w:rsidRPr="00D05E17" w:rsidRDefault="002B314D" w:rsidP="003D248E">
            <w:pPr>
              <w:rPr>
                <w:sz w:val="20"/>
                <w:szCs w:val="20"/>
              </w:rPr>
            </w:pPr>
          </w:p>
        </w:tc>
        <w:tc>
          <w:tcPr>
            <w:tcW w:w="968" w:type="dxa"/>
            <w:vMerge/>
          </w:tcPr>
          <w:p w:rsidR="002B314D" w:rsidRPr="00D05E17" w:rsidRDefault="002B314D" w:rsidP="003D248E">
            <w:pPr>
              <w:rPr>
                <w:sz w:val="20"/>
                <w:szCs w:val="20"/>
              </w:rPr>
            </w:pPr>
          </w:p>
        </w:tc>
        <w:tc>
          <w:tcPr>
            <w:tcW w:w="1080" w:type="dxa"/>
            <w:vMerge/>
          </w:tcPr>
          <w:p w:rsidR="002B314D" w:rsidRPr="00D05E17" w:rsidRDefault="002B314D" w:rsidP="003D248E">
            <w:pPr>
              <w:spacing w:after="240"/>
              <w:rPr>
                <w:sz w:val="20"/>
                <w:szCs w:val="20"/>
              </w:rPr>
            </w:pPr>
          </w:p>
        </w:tc>
        <w:tc>
          <w:tcPr>
            <w:tcW w:w="1260" w:type="dxa"/>
            <w:vMerge/>
          </w:tcPr>
          <w:p w:rsidR="002B314D" w:rsidRPr="00D05E17" w:rsidRDefault="002B314D" w:rsidP="003D248E">
            <w:pPr>
              <w:rPr>
                <w:sz w:val="20"/>
                <w:szCs w:val="20"/>
              </w:rPr>
            </w:pPr>
          </w:p>
        </w:tc>
        <w:tc>
          <w:tcPr>
            <w:tcW w:w="1080" w:type="dxa"/>
            <w:vMerge/>
          </w:tcPr>
          <w:p w:rsidR="002B314D" w:rsidRPr="00D05E17" w:rsidRDefault="002B314D" w:rsidP="003D248E">
            <w:pPr>
              <w:spacing w:after="240"/>
              <w:rPr>
                <w:sz w:val="20"/>
                <w:szCs w:val="20"/>
              </w:rPr>
            </w:pPr>
          </w:p>
        </w:tc>
        <w:tc>
          <w:tcPr>
            <w:tcW w:w="574" w:type="dxa"/>
            <w:gridSpan w:val="2"/>
          </w:tcPr>
          <w:p w:rsidR="002B314D" w:rsidRPr="00D05E17" w:rsidRDefault="002B314D" w:rsidP="001977A5">
            <w:pPr>
              <w:rPr>
                <w:sz w:val="20"/>
                <w:szCs w:val="20"/>
              </w:rPr>
            </w:pPr>
            <w:r w:rsidRPr="00D05E17">
              <w:rPr>
                <w:sz w:val="20"/>
                <w:szCs w:val="20"/>
              </w:rPr>
              <w:t xml:space="preserve">31% в неравностойно положение </w:t>
            </w:r>
          </w:p>
          <w:p w:rsidR="002B314D" w:rsidRPr="00D05E17" w:rsidRDefault="002B314D" w:rsidP="003D248E">
            <w:pPr>
              <w:rPr>
                <w:sz w:val="20"/>
                <w:szCs w:val="20"/>
              </w:rPr>
            </w:pPr>
          </w:p>
        </w:tc>
        <w:tc>
          <w:tcPr>
            <w:tcW w:w="574" w:type="dxa"/>
          </w:tcPr>
          <w:p w:rsidR="002B314D" w:rsidRPr="00D05E17" w:rsidRDefault="002B314D" w:rsidP="003D248E">
            <w:pPr>
              <w:rPr>
                <w:sz w:val="20"/>
                <w:szCs w:val="20"/>
              </w:rPr>
            </w:pPr>
            <w:r w:rsidRPr="00D05E17">
              <w:rPr>
                <w:sz w:val="20"/>
                <w:szCs w:val="20"/>
              </w:rPr>
              <w:t xml:space="preserve">57% </w:t>
            </w:r>
          </w:p>
        </w:tc>
        <w:tc>
          <w:tcPr>
            <w:tcW w:w="1260" w:type="dxa"/>
          </w:tcPr>
          <w:p w:rsidR="002B314D" w:rsidRPr="00D05E17" w:rsidRDefault="002B314D" w:rsidP="003D248E">
            <w:pPr>
              <w:rPr>
                <w:sz w:val="20"/>
                <w:szCs w:val="20"/>
              </w:rPr>
            </w:pPr>
            <w:r w:rsidRPr="00D05E17">
              <w:rPr>
                <w:sz w:val="20"/>
                <w:szCs w:val="20"/>
              </w:rPr>
              <w:t>60% хора в нер.пол.</w:t>
            </w:r>
            <w:r w:rsidRPr="00D05E17">
              <w:rPr>
                <w:sz w:val="20"/>
                <w:szCs w:val="20"/>
              </w:rPr>
              <w:br/>
              <w:t>ред.потреб. на интернет</w:t>
            </w:r>
          </w:p>
        </w:tc>
        <w:tc>
          <w:tcPr>
            <w:tcW w:w="1080"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r>
      <w:tr w:rsidR="002B314D" w:rsidRPr="00D05E17" w:rsidTr="00A11E39">
        <w:trPr>
          <w:trHeight w:val="915"/>
        </w:trPr>
        <w:tc>
          <w:tcPr>
            <w:tcW w:w="1883" w:type="dxa"/>
          </w:tcPr>
          <w:p w:rsidR="002B314D" w:rsidRPr="00D05E17" w:rsidRDefault="002B314D" w:rsidP="003D248E">
            <w:pPr>
              <w:rPr>
                <w:b/>
                <w:bCs/>
                <w:sz w:val="20"/>
                <w:szCs w:val="20"/>
              </w:rPr>
            </w:pPr>
            <w:r w:rsidRPr="00D05E17">
              <w:rPr>
                <w:b/>
                <w:bCs/>
                <w:sz w:val="20"/>
                <w:szCs w:val="20"/>
              </w:rPr>
              <w:t xml:space="preserve">2.2. </w:t>
            </w:r>
            <w:r w:rsidRPr="00D05E17">
              <w:rPr>
                <w:sz w:val="20"/>
                <w:szCs w:val="20"/>
              </w:rPr>
              <w:t xml:space="preserve">Намаляване до </w:t>
            </w:r>
            <w:smartTag w:uri="urn:schemas-microsoft-com:office:smarttags" w:element="metricconverter">
              <w:smartTagPr>
                <w:attr w:name="ProductID" w:val="2015 г"/>
              </w:smartTagPr>
              <w:r w:rsidRPr="00D05E17">
                <w:rPr>
                  <w:sz w:val="20"/>
                  <w:szCs w:val="20"/>
                </w:rPr>
                <w:t>2015 г</w:t>
              </w:r>
            </w:smartTag>
            <w:r w:rsidRPr="00D05E17">
              <w:rPr>
                <w:sz w:val="20"/>
                <w:szCs w:val="20"/>
              </w:rPr>
              <w:t>. наполовина (т.е. на 15 %) на дела на населението, което никога не е използвало интернет.</w:t>
            </w:r>
          </w:p>
        </w:tc>
        <w:tc>
          <w:tcPr>
            <w:tcW w:w="1433" w:type="dxa"/>
          </w:tcPr>
          <w:p w:rsidR="002B314D" w:rsidRPr="00D05E17" w:rsidRDefault="002B314D" w:rsidP="003D248E">
            <w:pPr>
              <w:rPr>
                <w:sz w:val="20"/>
                <w:szCs w:val="20"/>
              </w:rPr>
            </w:pPr>
            <w:r w:rsidRPr="00D05E17">
              <w:rPr>
                <w:sz w:val="20"/>
                <w:szCs w:val="20"/>
              </w:rPr>
              <w:t>Намаляване до 2015 г. наполовина (т.е. на 15 %) на дела на населението, което никога не е използвало интернет</w:t>
            </w:r>
          </w:p>
        </w:tc>
        <w:tc>
          <w:tcPr>
            <w:tcW w:w="1742" w:type="dxa"/>
          </w:tcPr>
          <w:p w:rsidR="002B314D" w:rsidRPr="00D05E17" w:rsidRDefault="002B314D" w:rsidP="003D248E">
            <w:pPr>
              <w:rPr>
                <w:sz w:val="20"/>
                <w:szCs w:val="20"/>
              </w:rPr>
            </w:pPr>
            <w:r w:rsidRPr="00D05E17">
              <w:rPr>
                <w:sz w:val="20"/>
                <w:szCs w:val="20"/>
              </w:rPr>
              <w:t>През 2009 г. 30 % от лицата на възраст 16—74 години никога не са използвали интернет</w:t>
            </w:r>
          </w:p>
        </w:tc>
        <w:tc>
          <w:tcPr>
            <w:tcW w:w="1189" w:type="dxa"/>
          </w:tcPr>
          <w:p w:rsidR="002B314D" w:rsidRPr="00D05E17" w:rsidRDefault="002B314D" w:rsidP="003D248E">
            <w:pPr>
              <w:rPr>
                <w:sz w:val="20"/>
                <w:szCs w:val="20"/>
              </w:rPr>
            </w:pPr>
            <w:r w:rsidRPr="00D05E17">
              <w:rPr>
                <w:sz w:val="20"/>
                <w:szCs w:val="20"/>
              </w:rPr>
              <w:t>53%/ 2009 никога не са използвали интернет</w:t>
            </w:r>
          </w:p>
        </w:tc>
        <w:tc>
          <w:tcPr>
            <w:tcW w:w="968" w:type="dxa"/>
          </w:tcPr>
          <w:p w:rsidR="002B314D" w:rsidRPr="00D05E17" w:rsidRDefault="002B314D" w:rsidP="003D248E">
            <w:pPr>
              <w:rPr>
                <w:sz w:val="20"/>
                <w:szCs w:val="20"/>
              </w:rPr>
            </w:pPr>
            <w:r w:rsidRPr="00D05E17">
              <w:rPr>
                <w:sz w:val="20"/>
                <w:szCs w:val="20"/>
              </w:rPr>
              <w:t>45,80%</w:t>
            </w:r>
          </w:p>
        </w:tc>
        <w:tc>
          <w:tcPr>
            <w:tcW w:w="1080" w:type="dxa"/>
          </w:tcPr>
          <w:p w:rsidR="002B314D" w:rsidRPr="00D05E17" w:rsidRDefault="002B314D" w:rsidP="003D248E">
            <w:pPr>
              <w:rPr>
                <w:sz w:val="20"/>
                <w:szCs w:val="20"/>
              </w:rPr>
            </w:pPr>
            <w:r w:rsidRPr="00D05E17">
              <w:rPr>
                <w:sz w:val="20"/>
                <w:szCs w:val="20"/>
              </w:rPr>
              <w:t>24,30%</w:t>
            </w:r>
          </w:p>
        </w:tc>
        <w:tc>
          <w:tcPr>
            <w:tcW w:w="1260" w:type="dxa"/>
          </w:tcPr>
          <w:p w:rsidR="002B314D" w:rsidRPr="00D05E17" w:rsidRDefault="002B314D" w:rsidP="003D248E">
            <w:pPr>
              <w:rPr>
                <w:sz w:val="20"/>
                <w:szCs w:val="20"/>
              </w:rPr>
            </w:pPr>
            <w:r w:rsidRPr="00D05E17">
              <w:rPr>
                <w:sz w:val="20"/>
                <w:szCs w:val="20"/>
              </w:rPr>
              <w:t>42%</w:t>
            </w:r>
          </w:p>
        </w:tc>
        <w:tc>
          <w:tcPr>
            <w:tcW w:w="1080" w:type="dxa"/>
          </w:tcPr>
          <w:p w:rsidR="002B314D" w:rsidRPr="00D05E17" w:rsidRDefault="002B314D" w:rsidP="003D248E">
            <w:pPr>
              <w:rPr>
                <w:sz w:val="20"/>
                <w:szCs w:val="20"/>
              </w:rPr>
            </w:pPr>
            <w:r w:rsidRPr="00D05E17">
              <w:rPr>
                <w:sz w:val="20"/>
                <w:szCs w:val="20"/>
              </w:rPr>
              <w:t>22%</w:t>
            </w:r>
          </w:p>
        </w:tc>
        <w:tc>
          <w:tcPr>
            <w:tcW w:w="574" w:type="dxa"/>
            <w:gridSpan w:val="2"/>
          </w:tcPr>
          <w:p w:rsidR="002B314D" w:rsidRPr="00D05E17" w:rsidRDefault="002B314D" w:rsidP="003D248E">
            <w:pPr>
              <w:rPr>
                <w:sz w:val="20"/>
                <w:szCs w:val="20"/>
              </w:rPr>
            </w:pPr>
            <w:r w:rsidRPr="00D05E17">
              <w:rPr>
                <w:sz w:val="20"/>
                <w:szCs w:val="20"/>
              </w:rPr>
              <w:t xml:space="preserve">41%  </w:t>
            </w:r>
          </w:p>
        </w:tc>
        <w:tc>
          <w:tcPr>
            <w:tcW w:w="574" w:type="dxa"/>
          </w:tcPr>
          <w:p w:rsidR="002B314D" w:rsidRPr="00D05E17" w:rsidRDefault="002B314D" w:rsidP="003D248E">
            <w:pPr>
              <w:rPr>
                <w:color w:val="FF0000"/>
                <w:sz w:val="20"/>
                <w:szCs w:val="20"/>
              </w:rPr>
            </w:pPr>
            <w:r w:rsidRPr="00D05E17">
              <w:rPr>
                <w:sz w:val="20"/>
                <w:szCs w:val="20"/>
              </w:rPr>
              <w:t xml:space="preserve">20%  </w:t>
            </w:r>
          </w:p>
        </w:tc>
        <w:tc>
          <w:tcPr>
            <w:tcW w:w="1260" w:type="dxa"/>
          </w:tcPr>
          <w:p w:rsidR="002B314D" w:rsidRPr="00D05E17" w:rsidRDefault="002B314D" w:rsidP="003D248E">
            <w:pPr>
              <w:rPr>
                <w:sz w:val="20"/>
                <w:szCs w:val="20"/>
              </w:rPr>
            </w:pPr>
            <w:r w:rsidRPr="00D05E17">
              <w:rPr>
                <w:sz w:val="20"/>
                <w:szCs w:val="20"/>
              </w:rPr>
              <w:t>цел 15% лица на възраст 16—74 години никога не са използвали интернет</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r>
      <w:tr w:rsidR="002B314D" w:rsidRPr="00D05E17" w:rsidTr="00E20DC1">
        <w:trPr>
          <w:trHeight w:val="330"/>
        </w:trPr>
        <w:tc>
          <w:tcPr>
            <w:tcW w:w="15203" w:type="dxa"/>
            <w:gridSpan w:val="14"/>
            <w:vAlign w:val="center"/>
          </w:tcPr>
          <w:p w:rsidR="002B314D" w:rsidRPr="00D05E17" w:rsidRDefault="002B314D" w:rsidP="003D248E">
            <w:pPr>
              <w:jc w:val="center"/>
              <w:rPr>
                <w:b/>
                <w:bCs/>
                <w:sz w:val="20"/>
                <w:szCs w:val="20"/>
              </w:rPr>
            </w:pPr>
            <w:r w:rsidRPr="00D05E17">
              <w:rPr>
                <w:b/>
                <w:bCs/>
                <w:sz w:val="20"/>
                <w:szCs w:val="20"/>
              </w:rPr>
              <w:t xml:space="preserve"> 3. Цифров единен пазар    </w:t>
            </w:r>
          </w:p>
        </w:tc>
      </w:tr>
      <w:tr w:rsidR="002B314D" w:rsidRPr="00D05E17" w:rsidTr="00A11E39">
        <w:trPr>
          <w:trHeight w:val="1140"/>
        </w:trPr>
        <w:tc>
          <w:tcPr>
            <w:tcW w:w="1883" w:type="dxa"/>
          </w:tcPr>
          <w:p w:rsidR="002B314D" w:rsidRPr="00D05E17" w:rsidRDefault="002B314D" w:rsidP="003D248E">
            <w:pPr>
              <w:rPr>
                <w:b/>
                <w:bCs/>
                <w:sz w:val="20"/>
                <w:szCs w:val="20"/>
              </w:rPr>
            </w:pPr>
            <w:r w:rsidRPr="00D05E17">
              <w:rPr>
                <w:b/>
                <w:bCs/>
                <w:sz w:val="20"/>
                <w:szCs w:val="20"/>
              </w:rPr>
              <w:t xml:space="preserve">3.1. </w:t>
            </w:r>
            <w:r w:rsidRPr="00D05E17">
              <w:rPr>
                <w:sz w:val="20"/>
                <w:szCs w:val="20"/>
              </w:rPr>
              <w:t>Насърчаване на електронната търговия</w:t>
            </w:r>
          </w:p>
        </w:tc>
        <w:tc>
          <w:tcPr>
            <w:tcW w:w="1433" w:type="dxa"/>
          </w:tcPr>
          <w:p w:rsidR="002B314D" w:rsidRPr="00D05E17" w:rsidRDefault="002B314D" w:rsidP="003D248E">
            <w:pPr>
              <w:rPr>
                <w:sz w:val="20"/>
                <w:szCs w:val="20"/>
              </w:rPr>
            </w:pPr>
            <w:r w:rsidRPr="00D05E17">
              <w:rPr>
                <w:sz w:val="20"/>
                <w:szCs w:val="20"/>
              </w:rPr>
              <w:t>50 % от населението следва да правят покупки онлайн не по-късно от 2015 г</w:t>
            </w:r>
          </w:p>
        </w:tc>
        <w:tc>
          <w:tcPr>
            <w:tcW w:w="1742" w:type="dxa"/>
          </w:tcPr>
          <w:p w:rsidR="002B314D" w:rsidRDefault="002B314D" w:rsidP="003D248E">
            <w:pPr>
              <w:rPr>
                <w:sz w:val="20"/>
                <w:szCs w:val="20"/>
              </w:rPr>
            </w:pPr>
            <w:r w:rsidRPr="00D05E17">
              <w:rPr>
                <w:sz w:val="20"/>
                <w:szCs w:val="20"/>
              </w:rPr>
              <w:t>През 2009 г. 37 % от лицата на възраст 16—74 г. са поръчали стоки или услуги за лично ползване през последните 12 месеца</w:t>
            </w:r>
          </w:p>
          <w:p w:rsidR="002B314D" w:rsidRPr="00D05E17" w:rsidRDefault="002B314D" w:rsidP="003D248E">
            <w:pPr>
              <w:rPr>
                <w:sz w:val="20"/>
                <w:szCs w:val="20"/>
              </w:rPr>
            </w:pPr>
          </w:p>
        </w:tc>
        <w:tc>
          <w:tcPr>
            <w:tcW w:w="1189" w:type="dxa"/>
          </w:tcPr>
          <w:p w:rsidR="002B314D" w:rsidRPr="00D05E17" w:rsidRDefault="002B314D" w:rsidP="003D248E">
            <w:pPr>
              <w:rPr>
                <w:sz w:val="20"/>
                <w:szCs w:val="20"/>
              </w:rPr>
            </w:pPr>
            <w:r w:rsidRPr="00D05E17">
              <w:rPr>
                <w:sz w:val="20"/>
                <w:szCs w:val="20"/>
              </w:rPr>
              <w:t>5% / 2009 са поръчали стоки или услуги за лично ползване</w:t>
            </w:r>
          </w:p>
        </w:tc>
        <w:tc>
          <w:tcPr>
            <w:tcW w:w="968" w:type="dxa"/>
          </w:tcPr>
          <w:p w:rsidR="002B314D" w:rsidRPr="00D05E17" w:rsidRDefault="002B314D" w:rsidP="003D248E">
            <w:pPr>
              <w:rPr>
                <w:sz w:val="20"/>
                <w:szCs w:val="20"/>
              </w:rPr>
            </w:pPr>
            <w:r w:rsidRPr="00D05E17">
              <w:rPr>
                <w:sz w:val="20"/>
                <w:szCs w:val="20"/>
              </w:rPr>
              <w:t>6,7%</w:t>
            </w:r>
          </w:p>
        </w:tc>
        <w:tc>
          <w:tcPr>
            <w:tcW w:w="1080" w:type="dxa"/>
          </w:tcPr>
          <w:p w:rsidR="002B314D" w:rsidRPr="00D05E17" w:rsidRDefault="002B314D" w:rsidP="003D248E">
            <w:pPr>
              <w:rPr>
                <w:sz w:val="20"/>
                <w:szCs w:val="20"/>
              </w:rPr>
            </w:pPr>
            <w:r w:rsidRPr="00D05E17">
              <w:rPr>
                <w:sz w:val="20"/>
                <w:szCs w:val="20"/>
              </w:rPr>
              <w:t>42,7%</w:t>
            </w:r>
          </w:p>
        </w:tc>
        <w:tc>
          <w:tcPr>
            <w:tcW w:w="1260" w:type="dxa"/>
          </w:tcPr>
          <w:p w:rsidR="002B314D" w:rsidRPr="00D05E17" w:rsidRDefault="002B314D" w:rsidP="003D248E">
            <w:pPr>
              <w:rPr>
                <w:sz w:val="20"/>
                <w:szCs w:val="20"/>
              </w:rPr>
            </w:pPr>
            <w:r w:rsidRPr="00D05E17">
              <w:rPr>
                <w:sz w:val="20"/>
                <w:szCs w:val="20"/>
              </w:rPr>
              <w:t>9%</w:t>
            </w:r>
          </w:p>
        </w:tc>
        <w:tc>
          <w:tcPr>
            <w:tcW w:w="1080" w:type="dxa"/>
          </w:tcPr>
          <w:p w:rsidR="002B314D" w:rsidRPr="00D05E17" w:rsidRDefault="002B314D" w:rsidP="003D248E">
            <w:pPr>
              <w:rPr>
                <w:sz w:val="20"/>
                <w:szCs w:val="20"/>
              </w:rPr>
            </w:pPr>
            <w:r w:rsidRPr="00D05E17">
              <w:rPr>
                <w:sz w:val="20"/>
                <w:szCs w:val="20"/>
              </w:rPr>
              <w:t>45%</w:t>
            </w:r>
          </w:p>
        </w:tc>
        <w:tc>
          <w:tcPr>
            <w:tcW w:w="574" w:type="dxa"/>
            <w:gridSpan w:val="2"/>
          </w:tcPr>
          <w:p w:rsidR="002B314D" w:rsidRPr="00D05E17" w:rsidRDefault="002B314D" w:rsidP="003D248E">
            <w:pPr>
              <w:rPr>
                <w:sz w:val="20"/>
                <w:szCs w:val="20"/>
              </w:rPr>
            </w:pPr>
            <w:r w:rsidRPr="00D05E17">
              <w:rPr>
                <w:sz w:val="20"/>
                <w:szCs w:val="20"/>
              </w:rPr>
              <w:t xml:space="preserve">12 % </w:t>
            </w:r>
          </w:p>
        </w:tc>
        <w:tc>
          <w:tcPr>
            <w:tcW w:w="574" w:type="dxa"/>
          </w:tcPr>
          <w:p w:rsidR="002B314D" w:rsidRPr="00D05E17" w:rsidRDefault="002B314D" w:rsidP="003D248E">
            <w:pPr>
              <w:rPr>
                <w:color w:val="FF0000"/>
                <w:sz w:val="20"/>
                <w:szCs w:val="20"/>
              </w:rPr>
            </w:pPr>
            <w:r w:rsidRPr="00D05E17">
              <w:rPr>
                <w:sz w:val="20"/>
                <w:szCs w:val="20"/>
              </w:rPr>
              <w:t xml:space="preserve">47% </w:t>
            </w:r>
          </w:p>
        </w:tc>
        <w:tc>
          <w:tcPr>
            <w:tcW w:w="1260" w:type="dxa"/>
          </w:tcPr>
          <w:p w:rsidR="002B314D" w:rsidRPr="00D05E17" w:rsidRDefault="002B314D" w:rsidP="003D248E">
            <w:pPr>
              <w:rPr>
                <w:sz w:val="20"/>
                <w:szCs w:val="20"/>
              </w:rPr>
            </w:pPr>
            <w:r w:rsidRPr="00D05E17">
              <w:rPr>
                <w:sz w:val="20"/>
                <w:szCs w:val="20"/>
              </w:rPr>
              <w:t>цел 50 % от населението следва да правят покупки онлайн</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r>
      <w:tr w:rsidR="002B314D" w:rsidRPr="00D05E17" w:rsidTr="00A11E39">
        <w:trPr>
          <w:trHeight w:val="1515"/>
        </w:trPr>
        <w:tc>
          <w:tcPr>
            <w:tcW w:w="1883" w:type="dxa"/>
          </w:tcPr>
          <w:p w:rsidR="002B314D" w:rsidRPr="00D05E17" w:rsidRDefault="002B314D" w:rsidP="003D248E">
            <w:pPr>
              <w:rPr>
                <w:b/>
                <w:bCs/>
                <w:sz w:val="20"/>
                <w:szCs w:val="20"/>
              </w:rPr>
            </w:pPr>
            <w:r w:rsidRPr="00D05E17">
              <w:rPr>
                <w:b/>
                <w:bCs/>
                <w:sz w:val="20"/>
                <w:szCs w:val="20"/>
              </w:rPr>
              <w:t xml:space="preserve">3.2. </w:t>
            </w:r>
            <w:r w:rsidRPr="00D05E17">
              <w:rPr>
                <w:sz w:val="20"/>
                <w:szCs w:val="20"/>
              </w:rPr>
              <w:t>Трансгранична електронна търговия</w:t>
            </w:r>
          </w:p>
        </w:tc>
        <w:tc>
          <w:tcPr>
            <w:tcW w:w="1433" w:type="dxa"/>
          </w:tcPr>
          <w:p w:rsidR="002B314D" w:rsidRDefault="002B314D" w:rsidP="003D248E">
            <w:pPr>
              <w:rPr>
                <w:sz w:val="20"/>
                <w:szCs w:val="20"/>
              </w:rPr>
            </w:pPr>
            <w:r w:rsidRPr="00D05E17">
              <w:rPr>
                <w:sz w:val="20"/>
                <w:szCs w:val="20"/>
              </w:rPr>
              <w:t>20% от населението следва да правят трансгранични покупки онлайн не по-късно от 2015 г</w:t>
            </w:r>
          </w:p>
          <w:p w:rsidR="002B314D" w:rsidRPr="00D05E17" w:rsidRDefault="002B314D" w:rsidP="003D248E">
            <w:pPr>
              <w:rPr>
                <w:sz w:val="20"/>
                <w:szCs w:val="20"/>
              </w:rPr>
            </w:pPr>
          </w:p>
        </w:tc>
        <w:tc>
          <w:tcPr>
            <w:tcW w:w="1742" w:type="dxa"/>
          </w:tcPr>
          <w:p w:rsidR="002B314D" w:rsidRPr="00D05E17" w:rsidRDefault="002B314D" w:rsidP="003D248E">
            <w:pPr>
              <w:rPr>
                <w:sz w:val="20"/>
                <w:szCs w:val="20"/>
              </w:rPr>
            </w:pPr>
            <w:r w:rsidRPr="00D05E17">
              <w:rPr>
                <w:sz w:val="20"/>
                <w:szCs w:val="20"/>
              </w:rPr>
              <w:t>През 2009 г. 8 % от лицата на възраст 16—74 г. са поръчали  стоки или услуги от търговци от други държави от ЕС</w:t>
            </w:r>
          </w:p>
        </w:tc>
        <w:tc>
          <w:tcPr>
            <w:tcW w:w="1189" w:type="dxa"/>
          </w:tcPr>
          <w:p w:rsidR="002B314D" w:rsidRPr="00D05E17" w:rsidRDefault="002B314D" w:rsidP="003D248E">
            <w:pPr>
              <w:rPr>
                <w:sz w:val="20"/>
                <w:szCs w:val="20"/>
              </w:rPr>
            </w:pPr>
            <w:r w:rsidRPr="00D05E17">
              <w:rPr>
                <w:sz w:val="20"/>
                <w:szCs w:val="20"/>
              </w:rPr>
              <w:t>1% /2009 са поръчали  стоки или услуги от търговци от други държави от ЕС</w:t>
            </w:r>
          </w:p>
        </w:tc>
        <w:tc>
          <w:tcPr>
            <w:tcW w:w="968" w:type="dxa"/>
          </w:tcPr>
          <w:p w:rsidR="002B314D" w:rsidRPr="00D05E17" w:rsidRDefault="002B314D" w:rsidP="003D248E">
            <w:pPr>
              <w:rPr>
                <w:sz w:val="20"/>
                <w:szCs w:val="20"/>
              </w:rPr>
            </w:pPr>
            <w:r w:rsidRPr="00D05E17">
              <w:rPr>
                <w:sz w:val="20"/>
                <w:szCs w:val="20"/>
              </w:rPr>
              <w:t>2,5%</w:t>
            </w:r>
          </w:p>
        </w:tc>
        <w:tc>
          <w:tcPr>
            <w:tcW w:w="1080" w:type="dxa"/>
          </w:tcPr>
          <w:p w:rsidR="002B314D" w:rsidRPr="00D05E17" w:rsidRDefault="002B314D" w:rsidP="003D248E">
            <w:pPr>
              <w:rPr>
                <w:sz w:val="20"/>
                <w:szCs w:val="20"/>
              </w:rPr>
            </w:pPr>
            <w:r w:rsidRPr="00D05E17">
              <w:rPr>
                <w:sz w:val="20"/>
                <w:szCs w:val="20"/>
              </w:rPr>
              <w:t>9,6%</w:t>
            </w:r>
          </w:p>
        </w:tc>
        <w:tc>
          <w:tcPr>
            <w:tcW w:w="1260" w:type="dxa"/>
          </w:tcPr>
          <w:p w:rsidR="002B314D" w:rsidRPr="00D05E17" w:rsidRDefault="002B314D" w:rsidP="003D248E">
            <w:pPr>
              <w:rPr>
                <w:sz w:val="20"/>
                <w:szCs w:val="20"/>
              </w:rPr>
            </w:pPr>
            <w:r w:rsidRPr="00D05E17">
              <w:rPr>
                <w:sz w:val="20"/>
                <w:szCs w:val="20"/>
              </w:rPr>
              <w:t>4%</w:t>
            </w:r>
          </w:p>
        </w:tc>
        <w:tc>
          <w:tcPr>
            <w:tcW w:w="1080" w:type="dxa"/>
          </w:tcPr>
          <w:p w:rsidR="002B314D" w:rsidRPr="00D05E17" w:rsidRDefault="002B314D" w:rsidP="003D248E">
            <w:pPr>
              <w:rPr>
                <w:sz w:val="20"/>
                <w:szCs w:val="20"/>
              </w:rPr>
            </w:pPr>
            <w:r w:rsidRPr="00D05E17">
              <w:rPr>
                <w:sz w:val="20"/>
                <w:szCs w:val="20"/>
              </w:rPr>
              <w:t>11%</w:t>
            </w:r>
          </w:p>
        </w:tc>
        <w:tc>
          <w:tcPr>
            <w:tcW w:w="574" w:type="dxa"/>
            <w:gridSpan w:val="2"/>
          </w:tcPr>
          <w:p w:rsidR="002B314D" w:rsidRPr="00D05E17" w:rsidRDefault="002B314D" w:rsidP="003D248E">
            <w:pPr>
              <w:rPr>
                <w:sz w:val="20"/>
                <w:szCs w:val="20"/>
              </w:rPr>
            </w:pPr>
            <w:r w:rsidRPr="00D05E17">
              <w:rPr>
                <w:sz w:val="20"/>
                <w:szCs w:val="20"/>
              </w:rPr>
              <w:t xml:space="preserve">6 % </w:t>
            </w:r>
          </w:p>
        </w:tc>
        <w:tc>
          <w:tcPr>
            <w:tcW w:w="574" w:type="dxa"/>
          </w:tcPr>
          <w:p w:rsidR="002B314D" w:rsidRPr="00D05E17" w:rsidRDefault="002B314D" w:rsidP="003D248E">
            <w:pPr>
              <w:rPr>
                <w:color w:val="FF0000"/>
                <w:sz w:val="20"/>
                <w:szCs w:val="20"/>
              </w:rPr>
            </w:pPr>
            <w:r w:rsidRPr="00D05E17">
              <w:rPr>
                <w:sz w:val="20"/>
                <w:szCs w:val="20"/>
              </w:rPr>
              <w:t xml:space="preserve">12% </w:t>
            </w:r>
          </w:p>
        </w:tc>
        <w:tc>
          <w:tcPr>
            <w:tcW w:w="1260" w:type="dxa"/>
          </w:tcPr>
          <w:p w:rsidR="002B314D" w:rsidRPr="00D05E17" w:rsidRDefault="002B314D" w:rsidP="003D248E">
            <w:pPr>
              <w:rPr>
                <w:sz w:val="20"/>
                <w:szCs w:val="20"/>
              </w:rPr>
            </w:pPr>
            <w:r w:rsidRPr="00D05E17">
              <w:rPr>
                <w:sz w:val="20"/>
                <w:szCs w:val="20"/>
              </w:rPr>
              <w:t>цел 20% от населението следва да правят покупки онлайн</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r>
      <w:tr w:rsidR="002B314D" w:rsidRPr="00D05E17" w:rsidTr="00A11E39">
        <w:trPr>
          <w:trHeight w:val="2265"/>
        </w:trPr>
        <w:tc>
          <w:tcPr>
            <w:tcW w:w="1883" w:type="dxa"/>
          </w:tcPr>
          <w:p w:rsidR="002B314D" w:rsidRPr="00D05E17" w:rsidRDefault="002B314D" w:rsidP="003D248E">
            <w:pPr>
              <w:rPr>
                <w:b/>
                <w:bCs/>
                <w:sz w:val="20"/>
                <w:szCs w:val="20"/>
              </w:rPr>
            </w:pPr>
            <w:r w:rsidRPr="00D05E17">
              <w:rPr>
                <w:b/>
                <w:bCs/>
                <w:sz w:val="20"/>
                <w:szCs w:val="20"/>
              </w:rPr>
              <w:t xml:space="preserve">3.3. </w:t>
            </w:r>
            <w:r w:rsidRPr="00D05E17">
              <w:rPr>
                <w:sz w:val="20"/>
                <w:szCs w:val="20"/>
              </w:rPr>
              <w:t>Електронна търговия между предприятия</w:t>
            </w:r>
          </w:p>
        </w:tc>
        <w:tc>
          <w:tcPr>
            <w:tcW w:w="1433" w:type="dxa"/>
          </w:tcPr>
          <w:p w:rsidR="002B314D" w:rsidRPr="00D05E17" w:rsidRDefault="002B314D" w:rsidP="003D248E">
            <w:pPr>
              <w:rPr>
                <w:sz w:val="20"/>
                <w:szCs w:val="20"/>
              </w:rPr>
            </w:pPr>
            <w:r w:rsidRPr="00D05E17">
              <w:rPr>
                <w:sz w:val="20"/>
                <w:szCs w:val="20"/>
              </w:rPr>
              <w:t>33 % от МСП следва да извършват онлайн покупки/продажби не по-късно от 2015 г.</w:t>
            </w:r>
          </w:p>
        </w:tc>
        <w:tc>
          <w:tcPr>
            <w:tcW w:w="1742" w:type="dxa"/>
          </w:tcPr>
          <w:p w:rsidR="002B314D" w:rsidRPr="00D05E17" w:rsidRDefault="002B314D" w:rsidP="003D248E">
            <w:pPr>
              <w:rPr>
                <w:sz w:val="20"/>
                <w:szCs w:val="20"/>
              </w:rPr>
            </w:pPr>
            <w:r w:rsidRPr="00D05E17">
              <w:rPr>
                <w:sz w:val="20"/>
                <w:szCs w:val="20"/>
              </w:rPr>
              <w:t xml:space="preserve">През </w:t>
            </w:r>
            <w:smartTag w:uri="urn:schemas-microsoft-com:office:smarttags" w:element="metricconverter">
              <w:smartTagPr>
                <w:attr w:name="ProductID" w:val="2008 г"/>
              </w:smartTagPr>
              <w:r w:rsidRPr="00D05E17">
                <w:rPr>
                  <w:sz w:val="20"/>
                  <w:szCs w:val="20"/>
                </w:rPr>
                <w:t>2008 г</w:t>
              </w:r>
            </w:smartTag>
            <w:r w:rsidRPr="00D05E17">
              <w:rPr>
                <w:sz w:val="20"/>
                <w:szCs w:val="20"/>
              </w:rPr>
              <w:t>. 24 % от предприятията са осъществили по електронен път покупки, а 12 % — продажби на стойност, която е равна на или по-голяма от 1 % от техния оборот или от общата стойност на всичките им покупки.</w:t>
            </w:r>
          </w:p>
          <w:p w:rsidR="002B314D" w:rsidRPr="00D05E17" w:rsidRDefault="002B314D" w:rsidP="003D248E">
            <w:pPr>
              <w:rPr>
                <w:sz w:val="20"/>
                <w:szCs w:val="20"/>
              </w:rPr>
            </w:pPr>
          </w:p>
        </w:tc>
        <w:tc>
          <w:tcPr>
            <w:tcW w:w="1189" w:type="dxa"/>
          </w:tcPr>
          <w:p w:rsidR="002B314D" w:rsidRPr="00D05E17" w:rsidRDefault="002B314D" w:rsidP="003D248E">
            <w:pPr>
              <w:rPr>
                <w:sz w:val="20"/>
                <w:szCs w:val="20"/>
              </w:rPr>
            </w:pPr>
            <w:r w:rsidRPr="00D05E17">
              <w:rPr>
                <w:sz w:val="20"/>
                <w:szCs w:val="20"/>
              </w:rPr>
              <w:t>5% /2009 покупки, 3%/ 2009 продажби</w:t>
            </w:r>
          </w:p>
        </w:tc>
        <w:tc>
          <w:tcPr>
            <w:tcW w:w="968" w:type="dxa"/>
          </w:tcPr>
          <w:p w:rsidR="002B314D" w:rsidRPr="00D05E17" w:rsidRDefault="002B314D" w:rsidP="003D248E">
            <w:pPr>
              <w:rPr>
                <w:sz w:val="20"/>
                <w:szCs w:val="20"/>
              </w:rPr>
            </w:pPr>
            <w:r w:rsidRPr="00D05E17">
              <w:rPr>
                <w:sz w:val="20"/>
                <w:szCs w:val="20"/>
              </w:rPr>
              <w:t>покупки</w:t>
            </w:r>
            <w:r w:rsidRPr="00D05E17">
              <w:rPr>
                <w:sz w:val="20"/>
                <w:szCs w:val="20"/>
              </w:rPr>
              <w:br/>
              <w:t>0%</w:t>
            </w:r>
            <w:r w:rsidRPr="00D05E17">
              <w:rPr>
                <w:sz w:val="20"/>
                <w:szCs w:val="20"/>
              </w:rPr>
              <w:br/>
              <w:t>продажби</w:t>
            </w:r>
            <w:r w:rsidRPr="00D05E17">
              <w:rPr>
                <w:sz w:val="20"/>
                <w:szCs w:val="20"/>
              </w:rPr>
              <w:br/>
              <w:t xml:space="preserve">3,07 % </w:t>
            </w:r>
          </w:p>
        </w:tc>
        <w:tc>
          <w:tcPr>
            <w:tcW w:w="1080" w:type="dxa"/>
          </w:tcPr>
          <w:p w:rsidR="002B314D" w:rsidRPr="00D05E17" w:rsidRDefault="002B314D" w:rsidP="003D248E">
            <w:pPr>
              <w:rPr>
                <w:sz w:val="20"/>
                <w:szCs w:val="20"/>
              </w:rPr>
            </w:pPr>
            <w:r w:rsidRPr="00D05E17">
              <w:rPr>
                <w:sz w:val="20"/>
                <w:szCs w:val="20"/>
              </w:rPr>
              <w:t>покупки</w:t>
            </w:r>
            <w:r w:rsidRPr="00D05E17">
              <w:rPr>
                <w:sz w:val="20"/>
                <w:szCs w:val="20"/>
              </w:rPr>
              <w:br/>
              <w:t>18,6%</w:t>
            </w:r>
            <w:r w:rsidRPr="00D05E17">
              <w:rPr>
                <w:sz w:val="20"/>
                <w:szCs w:val="20"/>
              </w:rPr>
              <w:br/>
              <w:t>продажби</w:t>
            </w:r>
            <w:r w:rsidRPr="00D05E17">
              <w:rPr>
                <w:sz w:val="20"/>
                <w:szCs w:val="20"/>
              </w:rPr>
              <w:br/>
              <w:t xml:space="preserve">12% </w:t>
            </w:r>
          </w:p>
        </w:tc>
        <w:tc>
          <w:tcPr>
            <w:tcW w:w="1260" w:type="dxa"/>
          </w:tcPr>
          <w:p w:rsidR="002B314D" w:rsidRPr="00D05E17" w:rsidRDefault="002B314D" w:rsidP="003D248E">
            <w:pPr>
              <w:rPr>
                <w:sz w:val="20"/>
                <w:szCs w:val="20"/>
              </w:rPr>
            </w:pPr>
            <w:r w:rsidRPr="00D05E17">
              <w:rPr>
                <w:sz w:val="20"/>
                <w:szCs w:val="20"/>
              </w:rPr>
              <w:t>покупки</w:t>
            </w:r>
            <w:r w:rsidRPr="00D05E17">
              <w:rPr>
                <w:sz w:val="20"/>
                <w:szCs w:val="20"/>
              </w:rPr>
              <w:br/>
              <w:t>0%</w:t>
            </w:r>
            <w:r w:rsidRPr="00D05E17">
              <w:rPr>
                <w:sz w:val="20"/>
                <w:szCs w:val="20"/>
              </w:rPr>
              <w:br/>
              <w:t>продажби</w:t>
            </w:r>
            <w:r w:rsidRPr="00D05E17">
              <w:rPr>
                <w:sz w:val="20"/>
                <w:szCs w:val="20"/>
              </w:rPr>
              <w:br/>
              <w:t>4 %</w:t>
            </w:r>
          </w:p>
        </w:tc>
        <w:tc>
          <w:tcPr>
            <w:tcW w:w="1080" w:type="dxa"/>
          </w:tcPr>
          <w:p w:rsidR="002B314D" w:rsidRPr="00D05E17" w:rsidRDefault="002B314D" w:rsidP="003D248E">
            <w:pPr>
              <w:rPr>
                <w:color w:val="FF0000"/>
                <w:sz w:val="20"/>
                <w:szCs w:val="20"/>
              </w:rPr>
            </w:pPr>
            <w:r w:rsidRPr="00D05E17">
              <w:rPr>
                <w:sz w:val="20"/>
                <w:szCs w:val="20"/>
              </w:rPr>
              <w:t>покупки</w:t>
            </w:r>
            <w:r w:rsidRPr="00D05E17">
              <w:rPr>
                <w:sz w:val="20"/>
                <w:szCs w:val="20"/>
              </w:rPr>
              <w:br/>
              <w:t xml:space="preserve">16% </w:t>
            </w:r>
          </w:p>
          <w:p w:rsidR="002B314D" w:rsidRPr="00D05E17" w:rsidRDefault="002B314D" w:rsidP="003D248E">
            <w:pPr>
              <w:rPr>
                <w:sz w:val="20"/>
                <w:szCs w:val="20"/>
              </w:rPr>
            </w:pPr>
            <w:r w:rsidRPr="00D05E17">
              <w:rPr>
                <w:sz w:val="20"/>
                <w:szCs w:val="20"/>
              </w:rPr>
              <w:br/>
              <w:t>продажби</w:t>
            </w:r>
            <w:r w:rsidRPr="00D05E17">
              <w:rPr>
                <w:sz w:val="20"/>
                <w:szCs w:val="20"/>
              </w:rPr>
              <w:br/>
              <w:t>13%</w:t>
            </w:r>
          </w:p>
        </w:tc>
        <w:tc>
          <w:tcPr>
            <w:tcW w:w="574" w:type="dxa"/>
            <w:gridSpan w:val="2"/>
          </w:tcPr>
          <w:p w:rsidR="002B314D" w:rsidRPr="00D05E17" w:rsidRDefault="002B314D" w:rsidP="003D248E">
            <w:pPr>
              <w:rPr>
                <w:sz w:val="20"/>
                <w:szCs w:val="20"/>
              </w:rPr>
            </w:pPr>
            <w:r w:rsidRPr="00D05E17">
              <w:rPr>
                <w:sz w:val="20"/>
                <w:szCs w:val="20"/>
              </w:rPr>
              <w:t xml:space="preserve">покупки </w:t>
            </w:r>
            <w:r w:rsidRPr="00D05E17">
              <w:rPr>
                <w:sz w:val="20"/>
                <w:szCs w:val="20"/>
              </w:rPr>
              <w:br/>
              <w:t>8.0%</w:t>
            </w:r>
          </w:p>
          <w:p w:rsidR="002B314D" w:rsidRPr="00D05E17" w:rsidRDefault="002B314D" w:rsidP="003D248E">
            <w:pPr>
              <w:rPr>
                <w:sz w:val="20"/>
                <w:szCs w:val="20"/>
              </w:rPr>
            </w:pPr>
            <w:r w:rsidRPr="00D05E17">
              <w:rPr>
                <w:sz w:val="20"/>
                <w:szCs w:val="20"/>
              </w:rPr>
              <w:t xml:space="preserve"> </w:t>
            </w: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r w:rsidRPr="00D05E17">
              <w:rPr>
                <w:sz w:val="20"/>
                <w:szCs w:val="20"/>
              </w:rPr>
              <w:t>продажби</w:t>
            </w:r>
            <w:r w:rsidRPr="00D05E17">
              <w:rPr>
                <w:sz w:val="20"/>
                <w:szCs w:val="20"/>
              </w:rPr>
              <w:br/>
              <w:t>5%</w:t>
            </w:r>
          </w:p>
        </w:tc>
        <w:tc>
          <w:tcPr>
            <w:tcW w:w="574" w:type="dxa"/>
          </w:tcPr>
          <w:p w:rsidR="002B314D" w:rsidRPr="00D05E17" w:rsidRDefault="002B314D" w:rsidP="003D248E">
            <w:pPr>
              <w:rPr>
                <w:sz w:val="20"/>
                <w:szCs w:val="20"/>
              </w:rPr>
            </w:pPr>
            <w:r w:rsidRPr="00D05E17">
              <w:rPr>
                <w:sz w:val="20"/>
                <w:szCs w:val="20"/>
              </w:rPr>
              <w:br/>
              <w:t>35%</w:t>
            </w: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color w:val="FF0000"/>
                <w:sz w:val="20"/>
                <w:szCs w:val="20"/>
              </w:rPr>
            </w:pPr>
            <w:r w:rsidRPr="00D05E17">
              <w:rPr>
                <w:sz w:val="20"/>
                <w:szCs w:val="20"/>
              </w:rPr>
              <w:t xml:space="preserve">14% </w:t>
            </w:r>
          </w:p>
        </w:tc>
        <w:tc>
          <w:tcPr>
            <w:tcW w:w="1260" w:type="dxa"/>
          </w:tcPr>
          <w:p w:rsidR="002B314D" w:rsidRPr="00D05E17" w:rsidRDefault="002B314D" w:rsidP="003D248E">
            <w:pPr>
              <w:rPr>
                <w:sz w:val="20"/>
                <w:szCs w:val="20"/>
              </w:rPr>
            </w:pPr>
            <w:r w:rsidRPr="00D05E17">
              <w:rPr>
                <w:sz w:val="20"/>
                <w:szCs w:val="20"/>
              </w:rPr>
              <w:t xml:space="preserve">цел 33 % от МСП следва да извършват онлайн покупки/продажби </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r>
      <w:tr w:rsidR="002B314D" w:rsidRPr="00D05E17" w:rsidTr="00D05E17">
        <w:trPr>
          <w:trHeight w:val="765"/>
        </w:trPr>
        <w:tc>
          <w:tcPr>
            <w:tcW w:w="1883" w:type="dxa"/>
            <w:vMerge w:val="restart"/>
          </w:tcPr>
          <w:p w:rsidR="002B314D" w:rsidRPr="00D05E17" w:rsidRDefault="002B314D" w:rsidP="003D248E">
            <w:pPr>
              <w:rPr>
                <w:b/>
                <w:bCs/>
                <w:sz w:val="20"/>
                <w:szCs w:val="20"/>
              </w:rPr>
            </w:pPr>
            <w:r w:rsidRPr="00D05E17">
              <w:rPr>
                <w:b/>
                <w:bCs/>
                <w:sz w:val="20"/>
                <w:szCs w:val="20"/>
              </w:rPr>
              <w:t>3.4.</w:t>
            </w:r>
            <w:r w:rsidRPr="00D05E17">
              <w:rPr>
                <w:sz w:val="20"/>
                <w:szCs w:val="20"/>
              </w:rPr>
              <w:t>Единен пазар за далекосъобщителни услуги:</w:t>
            </w:r>
          </w:p>
        </w:tc>
        <w:tc>
          <w:tcPr>
            <w:tcW w:w="1433" w:type="dxa"/>
            <w:vMerge w:val="restart"/>
          </w:tcPr>
          <w:p w:rsidR="002B314D" w:rsidRPr="00D05E17" w:rsidRDefault="002B314D" w:rsidP="003D248E">
            <w:pPr>
              <w:rPr>
                <w:sz w:val="20"/>
                <w:szCs w:val="20"/>
              </w:rPr>
            </w:pPr>
            <w:r w:rsidRPr="00D05E17">
              <w:rPr>
                <w:sz w:val="20"/>
                <w:szCs w:val="20"/>
              </w:rPr>
              <w:br/>
              <w:t>Разликата в цената между разговорите с роуминг и междуселищните разговори в рамките на една държава следва да се доближи до нула не по-късно от 2015</w:t>
            </w:r>
          </w:p>
        </w:tc>
        <w:tc>
          <w:tcPr>
            <w:tcW w:w="1742" w:type="dxa"/>
            <w:vMerge w:val="restart"/>
          </w:tcPr>
          <w:p w:rsidR="002B314D" w:rsidRPr="00D05E17" w:rsidRDefault="002B314D" w:rsidP="003D248E">
            <w:pPr>
              <w:rPr>
                <w:sz w:val="20"/>
                <w:szCs w:val="20"/>
              </w:rPr>
            </w:pPr>
            <w:r w:rsidRPr="00D05E17">
              <w:rPr>
                <w:sz w:val="20"/>
                <w:szCs w:val="20"/>
              </w:rPr>
              <w:t>През 2009 г. средната цена за разговор с роуминг беше 38 евроцента на минута (за изходящ разговор), а средната цена за минута за всички разговори в ЕС беше 13 евроцента (включително с роуминг).</w:t>
            </w:r>
          </w:p>
        </w:tc>
        <w:tc>
          <w:tcPr>
            <w:tcW w:w="1189" w:type="dxa"/>
            <w:vMerge w:val="restart"/>
          </w:tcPr>
          <w:p w:rsidR="002B314D" w:rsidRPr="00D05E17" w:rsidRDefault="002B314D" w:rsidP="003D248E">
            <w:pPr>
              <w:rPr>
                <w:sz w:val="20"/>
                <w:szCs w:val="20"/>
              </w:rPr>
            </w:pPr>
            <w:r w:rsidRPr="00D05E17">
              <w:rPr>
                <w:sz w:val="20"/>
                <w:szCs w:val="20"/>
              </w:rPr>
              <w:t> </w:t>
            </w:r>
          </w:p>
        </w:tc>
        <w:tc>
          <w:tcPr>
            <w:tcW w:w="968" w:type="dxa"/>
            <w:vMerge w:val="restart"/>
          </w:tcPr>
          <w:p w:rsidR="002B314D" w:rsidRPr="00D05E17" w:rsidRDefault="002B314D" w:rsidP="003D248E">
            <w:pPr>
              <w:rPr>
                <w:sz w:val="20"/>
                <w:szCs w:val="20"/>
              </w:rPr>
            </w:pPr>
            <w:r w:rsidRPr="00D05E17">
              <w:rPr>
                <w:sz w:val="20"/>
                <w:szCs w:val="20"/>
              </w:rPr>
              <w:t> </w:t>
            </w:r>
          </w:p>
        </w:tc>
        <w:tc>
          <w:tcPr>
            <w:tcW w:w="1080" w:type="dxa"/>
            <w:vMerge w:val="restart"/>
          </w:tcPr>
          <w:p w:rsidR="002B314D" w:rsidRPr="00D05E17" w:rsidRDefault="002B314D" w:rsidP="003D248E">
            <w:pPr>
              <w:rPr>
                <w:sz w:val="20"/>
                <w:szCs w:val="20"/>
              </w:rPr>
            </w:pPr>
            <w:r w:rsidRPr="00D05E17">
              <w:rPr>
                <w:sz w:val="20"/>
                <w:szCs w:val="20"/>
              </w:rPr>
              <w:t> </w:t>
            </w:r>
          </w:p>
        </w:tc>
        <w:tc>
          <w:tcPr>
            <w:tcW w:w="1260" w:type="dxa"/>
            <w:vMerge w:val="restart"/>
          </w:tcPr>
          <w:p w:rsidR="002B314D" w:rsidRPr="00D05E17" w:rsidRDefault="002B314D" w:rsidP="003D248E">
            <w:pPr>
              <w:rPr>
                <w:sz w:val="20"/>
                <w:szCs w:val="20"/>
              </w:rPr>
            </w:pPr>
            <w:r w:rsidRPr="00D05E17">
              <w:rPr>
                <w:sz w:val="20"/>
                <w:szCs w:val="20"/>
              </w:rPr>
              <w:t xml:space="preserve">източник КРС:Цена за минута на мобилен роуминг е </w:t>
            </w:r>
            <w:r w:rsidRPr="00D05E17">
              <w:rPr>
                <w:sz w:val="20"/>
                <w:szCs w:val="20"/>
              </w:rPr>
              <w:br/>
              <w:t xml:space="preserve"> 34,69 евроцента - като среднопретеглена, или цена 34,6 евроцента - като средноаритметична. Отделните цени прилагани от предприятията са: Мтел – 0,68 лв.; Глобул – 0,68 лв.; БТК – 0,673 лв.  Посочените цени се прилагат към 28 юни 2013 г. и са с вкл. ДДС.     </w:t>
            </w:r>
          </w:p>
        </w:tc>
        <w:tc>
          <w:tcPr>
            <w:tcW w:w="1080" w:type="dxa"/>
            <w:vMerge w:val="restart"/>
          </w:tcPr>
          <w:p w:rsidR="002B314D" w:rsidRPr="00D05E17" w:rsidRDefault="002B314D" w:rsidP="003D248E">
            <w:pPr>
              <w:rPr>
                <w:sz w:val="20"/>
                <w:szCs w:val="20"/>
              </w:rPr>
            </w:pPr>
            <w:r w:rsidRPr="00D05E17">
              <w:rPr>
                <w:sz w:val="20"/>
                <w:szCs w:val="20"/>
              </w:rPr>
              <w:t>източник КРС : Цена за минута на мобилен роуминг е 0,15 евро от 1 юли 2013 г.(на едро без ДДС) и 0,45 евро от 1 юли 2013 г. (на дребно без ДДС).</w:t>
            </w:r>
          </w:p>
        </w:tc>
        <w:tc>
          <w:tcPr>
            <w:tcW w:w="1148" w:type="dxa"/>
            <w:gridSpan w:val="3"/>
          </w:tcPr>
          <w:p w:rsidR="002B314D" w:rsidRPr="00D05E17" w:rsidRDefault="002B314D" w:rsidP="00D05E17">
            <w:pPr>
              <w:spacing w:after="240"/>
              <w:rPr>
                <w:sz w:val="20"/>
                <w:szCs w:val="20"/>
                <w:lang w:val="ru-RU"/>
              </w:rPr>
            </w:pPr>
            <w:r w:rsidRPr="00D05E17">
              <w:rPr>
                <w:sz w:val="20"/>
                <w:szCs w:val="20"/>
              </w:rPr>
              <w:t xml:space="preserve">Роуминг на национални цени </w:t>
            </w:r>
            <w:r w:rsidRPr="00D05E17">
              <w:rPr>
                <w:sz w:val="20"/>
                <w:szCs w:val="20"/>
                <w:lang w:val="ru-RU"/>
              </w:rPr>
              <w:t>***</w:t>
            </w:r>
          </w:p>
          <w:p w:rsidR="002B314D" w:rsidRPr="00D05E17" w:rsidRDefault="002B314D" w:rsidP="008D18ED">
            <w:pPr>
              <w:spacing w:after="240"/>
              <w:rPr>
                <w:sz w:val="20"/>
                <w:szCs w:val="20"/>
              </w:rPr>
            </w:pPr>
          </w:p>
        </w:tc>
        <w:tc>
          <w:tcPr>
            <w:tcW w:w="1260" w:type="dxa"/>
            <w:vMerge w:val="restart"/>
          </w:tcPr>
          <w:p w:rsidR="002B314D" w:rsidRPr="00D05E17" w:rsidRDefault="002B314D" w:rsidP="003D248E">
            <w:pPr>
              <w:rPr>
                <w:sz w:val="20"/>
                <w:szCs w:val="20"/>
              </w:rPr>
            </w:pPr>
            <w:r w:rsidRPr="00D05E17">
              <w:rPr>
                <w:sz w:val="20"/>
                <w:szCs w:val="20"/>
              </w:rPr>
              <w:t xml:space="preserve">цел :премахване на разликите между цените на националните услуги и цените за международен роуминг </w:t>
            </w:r>
          </w:p>
        </w:tc>
        <w:tc>
          <w:tcPr>
            <w:tcW w:w="1080" w:type="dxa"/>
            <w:vMerge w:val="restart"/>
          </w:tcPr>
          <w:p w:rsidR="002B314D" w:rsidRPr="00D05E17" w:rsidRDefault="002B314D" w:rsidP="003D248E">
            <w:pPr>
              <w:rPr>
                <w:sz w:val="20"/>
                <w:szCs w:val="20"/>
              </w:rPr>
            </w:pPr>
            <w:r w:rsidRPr="00D05E17">
              <w:rPr>
                <w:sz w:val="20"/>
                <w:szCs w:val="20"/>
              </w:rPr>
              <w:t> </w:t>
            </w:r>
          </w:p>
        </w:tc>
        <w:tc>
          <w:tcPr>
            <w:tcW w:w="1080" w:type="dxa"/>
            <w:vMerge w:val="restart"/>
          </w:tcPr>
          <w:p w:rsidR="002B314D" w:rsidRPr="00D05E17" w:rsidRDefault="002B314D" w:rsidP="003D248E">
            <w:pPr>
              <w:rPr>
                <w:sz w:val="20"/>
                <w:szCs w:val="20"/>
              </w:rPr>
            </w:pPr>
            <w:r w:rsidRPr="00D05E17">
              <w:rPr>
                <w:sz w:val="20"/>
                <w:szCs w:val="20"/>
              </w:rPr>
              <w:t> </w:t>
            </w:r>
          </w:p>
        </w:tc>
      </w:tr>
      <w:tr w:rsidR="002B314D" w:rsidRPr="00D05E17" w:rsidTr="00D05E17">
        <w:trPr>
          <w:trHeight w:val="6585"/>
        </w:trPr>
        <w:tc>
          <w:tcPr>
            <w:tcW w:w="1883" w:type="dxa"/>
            <w:vMerge/>
          </w:tcPr>
          <w:p w:rsidR="002B314D" w:rsidRPr="00D05E17" w:rsidRDefault="002B314D" w:rsidP="003D248E">
            <w:pPr>
              <w:rPr>
                <w:b/>
                <w:bCs/>
                <w:sz w:val="20"/>
                <w:szCs w:val="20"/>
              </w:rPr>
            </w:pPr>
          </w:p>
        </w:tc>
        <w:tc>
          <w:tcPr>
            <w:tcW w:w="1433" w:type="dxa"/>
            <w:vMerge/>
          </w:tcPr>
          <w:p w:rsidR="002B314D" w:rsidRPr="00D05E17" w:rsidRDefault="002B314D" w:rsidP="003D248E">
            <w:pPr>
              <w:rPr>
                <w:sz w:val="20"/>
                <w:szCs w:val="20"/>
              </w:rPr>
            </w:pPr>
          </w:p>
        </w:tc>
        <w:tc>
          <w:tcPr>
            <w:tcW w:w="1742" w:type="dxa"/>
            <w:vMerge/>
          </w:tcPr>
          <w:p w:rsidR="002B314D" w:rsidRPr="00D05E17" w:rsidRDefault="002B314D" w:rsidP="003D248E">
            <w:pPr>
              <w:rPr>
                <w:sz w:val="20"/>
                <w:szCs w:val="20"/>
              </w:rPr>
            </w:pPr>
          </w:p>
        </w:tc>
        <w:tc>
          <w:tcPr>
            <w:tcW w:w="1189" w:type="dxa"/>
            <w:vMerge/>
          </w:tcPr>
          <w:p w:rsidR="002B314D" w:rsidRPr="00D05E17" w:rsidRDefault="002B314D" w:rsidP="003D248E">
            <w:pPr>
              <w:rPr>
                <w:sz w:val="20"/>
                <w:szCs w:val="20"/>
              </w:rPr>
            </w:pPr>
          </w:p>
        </w:tc>
        <w:tc>
          <w:tcPr>
            <w:tcW w:w="968"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c>
          <w:tcPr>
            <w:tcW w:w="1260"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c>
          <w:tcPr>
            <w:tcW w:w="540" w:type="dxa"/>
          </w:tcPr>
          <w:p w:rsidR="002B314D" w:rsidRPr="00D05E17" w:rsidRDefault="002B314D" w:rsidP="008D18ED">
            <w:pPr>
              <w:spacing w:after="240"/>
              <w:rPr>
                <w:sz w:val="20"/>
                <w:szCs w:val="20"/>
                <w:lang w:val="ru-RU"/>
              </w:rPr>
            </w:pPr>
            <w:r>
              <w:rPr>
                <w:sz w:val="20"/>
                <w:szCs w:val="20"/>
              </w:rPr>
              <w:t>31%</w:t>
            </w:r>
          </w:p>
          <w:p w:rsidR="002B314D" w:rsidRPr="00D05E17" w:rsidRDefault="002B314D" w:rsidP="00D05E17">
            <w:pPr>
              <w:spacing w:after="240"/>
              <w:rPr>
                <w:sz w:val="20"/>
                <w:szCs w:val="20"/>
              </w:rPr>
            </w:pPr>
          </w:p>
        </w:tc>
        <w:tc>
          <w:tcPr>
            <w:tcW w:w="608" w:type="dxa"/>
            <w:gridSpan w:val="2"/>
          </w:tcPr>
          <w:p w:rsidR="002B314D" w:rsidRPr="00D05E17" w:rsidRDefault="002B314D" w:rsidP="00D05E17">
            <w:pPr>
              <w:spacing w:after="240"/>
              <w:rPr>
                <w:sz w:val="20"/>
                <w:szCs w:val="20"/>
                <w:lang w:val="ru-RU"/>
              </w:rPr>
            </w:pPr>
            <w:r>
              <w:rPr>
                <w:sz w:val="20"/>
                <w:szCs w:val="20"/>
              </w:rPr>
              <w:t>63 %</w:t>
            </w:r>
          </w:p>
          <w:p w:rsidR="002B314D" w:rsidRPr="00D05E17" w:rsidRDefault="002B314D" w:rsidP="008D18ED">
            <w:pPr>
              <w:spacing w:after="240"/>
              <w:rPr>
                <w:sz w:val="20"/>
                <w:szCs w:val="20"/>
              </w:rPr>
            </w:pPr>
          </w:p>
        </w:tc>
        <w:tc>
          <w:tcPr>
            <w:tcW w:w="1260"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r>
      <w:tr w:rsidR="002B314D" w:rsidRPr="00D05E17" w:rsidTr="00E20DC1">
        <w:trPr>
          <w:trHeight w:val="330"/>
        </w:trPr>
        <w:tc>
          <w:tcPr>
            <w:tcW w:w="15203" w:type="dxa"/>
            <w:gridSpan w:val="14"/>
            <w:shd w:val="clear" w:color="auto" w:fill="CCFFCC"/>
            <w:vAlign w:val="center"/>
          </w:tcPr>
          <w:p w:rsidR="002B314D" w:rsidRPr="00D05E17" w:rsidRDefault="002B314D" w:rsidP="003D248E">
            <w:pPr>
              <w:jc w:val="center"/>
              <w:rPr>
                <w:b/>
                <w:bCs/>
                <w:sz w:val="20"/>
                <w:szCs w:val="20"/>
              </w:rPr>
            </w:pPr>
            <w:r w:rsidRPr="00D05E17">
              <w:rPr>
                <w:b/>
                <w:bCs/>
                <w:sz w:val="20"/>
                <w:szCs w:val="20"/>
              </w:rPr>
              <w:t xml:space="preserve"> 4. Публични услуги   </w:t>
            </w:r>
          </w:p>
        </w:tc>
      </w:tr>
      <w:tr w:rsidR="002B314D" w:rsidRPr="00D05E17" w:rsidTr="00CE4520">
        <w:trPr>
          <w:trHeight w:val="675"/>
        </w:trPr>
        <w:tc>
          <w:tcPr>
            <w:tcW w:w="1883" w:type="dxa"/>
            <w:vMerge w:val="restart"/>
          </w:tcPr>
          <w:p w:rsidR="002B314D" w:rsidRPr="00D05E17" w:rsidRDefault="002B314D" w:rsidP="003D248E">
            <w:pPr>
              <w:rPr>
                <w:b/>
                <w:bCs/>
                <w:sz w:val="20"/>
                <w:szCs w:val="20"/>
              </w:rPr>
            </w:pPr>
            <w:r w:rsidRPr="00D05E17">
              <w:rPr>
                <w:b/>
                <w:bCs/>
                <w:sz w:val="20"/>
                <w:szCs w:val="20"/>
              </w:rPr>
              <w:t xml:space="preserve">4.1. </w:t>
            </w:r>
            <w:r w:rsidRPr="00D05E17">
              <w:rPr>
                <w:sz w:val="20"/>
                <w:szCs w:val="20"/>
              </w:rPr>
              <w:t xml:space="preserve">Разпространение на услугите на електронното управление към </w:t>
            </w:r>
            <w:smartTag w:uri="urn:schemas-microsoft-com:office:smarttags" w:element="metricconverter">
              <w:smartTagPr>
                <w:attr w:name="ProductID" w:val="2015 г"/>
              </w:smartTagPr>
              <w:r w:rsidRPr="00D05E17">
                <w:rPr>
                  <w:sz w:val="20"/>
                  <w:szCs w:val="20"/>
                </w:rPr>
                <w:t>2015 г</w:t>
              </w:r>
            </w:smartTag>
            <w:r w:rsidRPr="00D05E17">
              <w:rPr>
                <w:b/>
                <w:bCs/>
                <w:sz w:val="20"/>
                <w:szCs w:val="20"/>
              </w:rPr>
              <w:t>.</w:t>
            </w:r>
          </w:p>
        </w:tc>
        <w:tc>
          <w:tcPr>
            <w:tcW w:w="1433" w:type="dxa"/>
            <w:vMerge w:val="restart"/>
          </w:tcPr>
          <w:p w:rsidR="002B314D" w:rsidRPr="00D05E17" w:rsidRDefault="002B314D" w:rsidP="003D248E">
            <w:pPr>
              <w:rPr>
                <w:sz w:val="20"/>
                <w:szCs w:val="20"/>
              </w:rPr>
            </w:pPr>
            <w:r w:rsidRPr="00D05E17">
              <w:rPr>
                <w:sz w:val="20"/>
                <w:szCs w:val="20"/>
              </w:rPr>
              <w:t>50 % от гражданите да ползват услуги на електронното управление, като повече от половината от тях изпращат попълнени формуляри</w:t>
            </w:r>
          </w:p>
        </w:tc>
        <w:tc>
          <w:tcPr>
            <w:tcW w:w="1742" w:type="dxa"/>
            <w:vMerge w:val="restart"/>
          </w:tcPr>
          <w:p w:rsidR="002B314D" w:rsidRPr="00D05E17" w:rsidRDefault="002B314D" w:rsidP="003D248E">
            <w:pPr>
              <w:rPr>
                <w:sz w:val="20"/>
                <w:szCs w:val="20"/>
              </w:rPr>
            </w:pPr>
            <w:r w:rsidRPr="00D05E17">
              <w:rPr>
                <w:sz w:val="20"/>
                <w:szCs w:val="20"/>
              </w:rPr>
              <w:t>През 2009 г. 38 % от лицата на възраст 16—74 г. са ползвали услуги на електронното управление през последните 12 месеца и 47 % от тях са ползвали тези услуги и за изпращане на попълнени формуляри</w:t>
            </w:r>
          </w:p>
        </w:tc>
        <w:tc>
          <w:tcPr>
            <w:tcW w:w="1189" w:type="dxa"/>
            <w:vMerge w:val="restart"/>
          </w:tcPr>
          <w:p w:rsidR="002B314D" w:rsidRPr="00D05E17" w:rsidRDefault="002B314D" w:rsidP="003D248E">
            <w:pPr>
              <w:rPr>
                <w:sz w:val="20"/>
                <w:szCs w:val="20"/>
              </w:rPr>
            </w:pPr>
            <w:r w:rsidRPr="00D05E17">
              <w:rPr>
                <w:sz w:val="20"/>
                <w:szCs w:val="20"/>
              </w:rPr>
              <w:t>10% /2009 услуги на електронното управление</w:t>
            </w:r>
            <w:r w:rsidRPr="00D05E17">
              <w:rPr>
                <w:sz w:val="20"/>
                <w:szCs w:val="20"/>
              </w:rPr>
              <w:br/>
            </w:r>
            <w:r w:rsidRPr="00D05E17">
              <w:rPr>
                <w:sz w:val="20"/>
                <w:szCs w:val="20"/>
              </w:rPr>
              <w:br/>
              <w:t>5% 2009 услуги и за изпращане на попълнени формуляри</w:t>
            </w:r>
          </w:p>
        </w:tc>
        <w:tc>
          <w:tcPr>
            <w:tcW w:w="968" w:type="dxa"/>
            <w:vMerge w:val="restart"/>
          </w:tcPr>
          <w:p w:rsidR="002B314D" w:rsidRPr="00D05E17" w:rsidRDefault="002B314D" w:rsidP="003D248E">
            <w:pPr>
              <w:rPr>
                <w:sz w:val="20"/>
                <w:szCs w:val="20"/>
              </w:rPr>
            </w:pPr>
            <w:r w:rsidRPr="00D05E17">
              <w:rPr>
                <w:sz w:val="20"/>
                <w:szCs w:val="20"/>
              </w:rPr>
              <w:t xml:space="preserve">25,4% услуги </w:t>
            </w:r>
            <w:r w:rsidRPr="00D05E17">
              <w:rPr>
                <w:sz w:val="20"/>
                <w:szCs w:val="20"/>
              </w:rPr>
              <w:br/>
            </w:r>
            <w:r w:rsidRPr="00D05E17">
              <w:rPr>
                <w:sz w:val="20"/>
                <w:szCs w:val="20"/>
              </w:rPr>
              <w:br/>
              <w:t>10,1% изпращат попълнени формуляри</w:t>
            </w:r>
          </w:p>
        </w:tc>
        <w:tc>
          <w:tcPr>
            <w:tcW w:w="1080" w:type="dxa"/>
            <w:vMerge w:val="restart"/>
          </w:tcPr>
          <w:p w:rsidR="002B314D" w:rsidRPr="00D05E17" w:rsidRDefault="002B314D" w:rsidP="003D248E">
            <w:pPr>
              <w:rPr>
                <w:sz w:val="20"/>
                <w:szCs w:val="20"/>
              </w:rPr>
            </w:pPr>
            <w:r w:rsidRPr="00D05E17">
              <w:rPr>
                <w:sz w:val="20"/>
                <w:szCs w:val="20"/>
              </w:rPr>
              <w:t xml:space="preserve">41% услуги </w:t>
            </w:r>
            <w:r w:rsidRPr="00D05E17">
              <w:rPr>
                <w:sz w:val="20"/>
                <w:szCs w:val="20"/>
              </w:rPr>
              <w:br/>
            </w:r>
            <w:r w:rsidRPr="00D05E17">
              <w:rPr>
                <w:sz w:val="20"/>
                <w:szCs w:val="20"/>
              </w:rPr>
              <w:br/>
              <w:t>20,6% изпращат  попълнени формуляри</w:t>
            </w:r>
          </w:p>
        </w:tc>
        <w:tc>
          <w:tcPr>
            <w:tcW w:w="1260" w:type="dxa"/>
            <w:vMerge w:val="restart"/>
          </w:tcPr>
          <w:p w:rsidR="002B314D" w:rsidRPr="00D05E17" w:rsidRDefault="002B314D" w:rsidP="003D248E">
            <w:pPr>
              <w:rPr>
                <w:sz w:val="20"/>
                <w:szCs w:val="20"/>
              </w:rPr>
            </w:pPr>
            <w:r w:rsidRPr="00D05E17">
              <w:rPr>
                <w:sz w:val="20"/>
                <w:szCs w:val="20"/>
              </w:rPr>
              <w:t xml:space="preserve">27 % услуги </w:t>
            </w:r>
            <w:r w:rsidRPr="00D05E17">
              <w:rPr>
                <w:sz w:val="20"/>
                <w:szCs w:val="20"/>
              </w:rPr>
              <w:br/>
            </w:r>
            <w:r w:rsidRPr="00D05E17">
              <w:rPr>
                <w:sz w:val="20"/>
                <w:szCs w:val="20"/>
              </w:rPr>
              <w:br/>
              <w:t>11% изпращат попълнени формуляри</w:t>
            </w:r>
          </w:p>
        </w:tc>
        <w:tc>
          <w:tcPr>
            <w:tcW w:w="1080" w:type="dxa"/>
            <w:vMerge w:val="restart"/>
          </w:tcPr>
          <w:p w:rsidR="002B314D" w:rsidRPr="00D05E17" w:rsidRDefault="002B314D" w:rsidP="003D248E">
            <w:pPr>
              <w:rPr>
                <w:sz w:val="20"/>
                <w:szCs w:val="20"/>
              </w:rPr>
            </w:pPr>
            <w:r w:rsidRPr="00D05E17">
              <w:rPr>
                <w:sz w:val="20"/>
                <w:szCs w:val="20"/>
              </w:rPr>
              <w:t xml:space="preserve">44 % услуги </w:t>
            </w:r>
            <w:r w:rsidRPr="00D05E17">
              <w:rPr>
                <w:sz w:val="20"/>
                <w:szCs w:val="20"/>
              </w:rPr>
              <w:br/>
            </w:r>
            <w:r w:rsidRPr="00D05E17">
              <w:rPr>
                <w:sz w:val="20"/>
                <w:szCs w:val="20"/>
              </w:rPr>
              <w:br/>
              <w:t>22 % изпращат  попълнени формуляри</w:t>
            </w:r>
          </w:p>
        </w:tc>
        <w:tc>
          <w:tcPr>
            <w:tcW w:w="574" w:type="dxa"/>
            <w:gridSpan w:val="2"/>
          </w:tcPr>
          <w:p w:rsidR="002B314D" w:rsidRPr="00D05E17" w:rsidRDefault="002B314D" w:rsidP="003D248E">
            <w:pPr>
              <w:rPr>
                <w:sz w:val="20"/>
                <w:szCs w:val="20"/>
              </w:rPr>
            </w:pPr>
            <w:r w:rsidRPr="00D05E17">
              <w:rPr>
                <w:sz w:val="20"/>
                <w:szCs w:val="20"/>
              </w:rPr>
              <w:t xml:space="preserve"> 23% услуги</w:t>
            </w:r>
          </w:p>
        </w:tc>
        <w:tc>
          <w:tcPr>
            <w:tcW w:w="574" w:type="dxa"/>
          </w:tcPr>
          <w:p w:rsidR="002B314D" w:rsidRPr="00D05E17" w:rsidRDefault="002B314D" w:rsidP="003D248E">
            <w:pPr>
              <w:rPr>
                <w:color w:val="FF0000"/>
                <w:sz w:val="20"/>
                <w:szCs w:val="20"/>
              </w:rPr>
            </w:pPr>
            <w:r w:rsidRPr="00D05E17">
              <w:rPr>
                <w:sz w:val="20"/>
                <w:szCs w:val="20"/>
              </w:rPr>
              <w:t xml:space="preserve">41% </w:t>
            </w:r>
            <w:r w:rsidRPr="00D05E17">
              <w:rPr>
                <w:sz w:val="20"/>
                <w:szCs w:val="20"/>
              </w:rPr>
              <w:br/>
            </w:r>
            <w:r w:rsidRPr="00D05E17">
              <w:rPr>
                <w:sz w:val="20"/>
                <w:szCs w:val="20"/>
              </w:rPr>
              <w:br/>
            </w:r>
          </w:p>
        </w:tc>
        <w:tc>
          <w:tcPr>
            <w:tcW w:w="1260" w:type="dxa"/>
            <w:vMerge w:val="restart"/>
          </w:tcPr>
          <w:p w:rsidR="002B314D" w:rsidRPr="00D05E17" w:rsidRDefault="002B314D" w:rsidP="003D248E">
            <w:pPr>
              <w:rPr>
                <w:sz w:val="20"/>
                <w:szCs w:val="20"/>
              </w:rPr>
            </w:pPr>
            <w:r w:rsidRPr="00D05E17">
              <w:rPr>
                <w:sz w:val="20"/>
                <w:szCs w:val="20"/>
              </w:rPr>
              <w:t xml:space="preserve">цел 50 % от гражданите да ползват услуги на електронното управление, като </w:t>
            </w:r>
            <w:r w:rsidRPr="00D05E17">
              <w:rPr>
                <w:sz w:val="20"/>
                <w:szCs w:val="20"/>
              </w:rPr>
              <w:br/>
            </w:r>
            <w:r w:rsidRPr="00D05E17">
              <w:rPr>
                <w:sz w:val="20"/>
                <w:szCs w:val="20"/>
              </w:rPr>
              <w:br/>
              <w:t>25% от тях изпращат попълнени формуляри</w:t>
            </w:r>
          </w:p>
        </w:tc>
        <w:tc>
          <w:tcPr>
            <w:tcW w:w="1080" w:type="dxa"/>
            <w:vMerge w:val="restart"/>
          </w:tcPr>
          <w:p w:rsidR="002B314D" w:rsidRPr="00D05E17" w:rsidRDefault="002B314D" w:rsidP="003D248E">
            <w:pPr>
              <w:rPr>
                <w:sz w:val="20"/>
                <w:szCs w:val="20"/>
              </w:rPr>
            </w:pPr>
            <w:r w:rsidRPr="00D05E17">
              <w:rPr>
                <w:sz w:val="20"/>
                <w:szCs w:val="20"/>
              </w:rPr>
              <w:t> </w:t>
            </w:r>
          </w:p>
        </w:tc>
        <w:tc>
          <w:tcPr>
            <w:tcW w:w="1080" w:type="dxa"/>
            <w:vMerge w:val="restart"/>
          </w:tcPr>
          <w:p w:rsidR="002B314D" w:rsidRPr="00D05E17" w:rsidRDefault="002B314D" w:rsidP="003D248E">
            <w:pPr>
              <w:rPr>
                <w:sz w:val="20"/>
                <w:szCs w:val="20"/>
              </w:rPr>
            </w:pPr>
            <w:r w:rsidRPr="00D05E17">
              <w:rPr>
                <w:sz w:val="20"/>
                <w:szCs w:val="20"/>
              </w:rPr>
              <w:t> </w:t>
            </w:r>
          </w:p>
        </w:tc>
      </w:tr>
      <w:tr w:rsidR="002B314D" w:rsidRPr="00D05E17" w:rsidTr="00A11E39">
        <w:trPr>
          <w:trHeight w:val="2535"/>
        </w:trPr>
        <w:tc>
          <w:tcPr>
            <w:tcW w:w="1883" w:type="dxa"/>
            <w:vMerge/>
          </w:tcPr>
          <w:p w:rsidR="002B314D" w:rsidRPr="00D05E17" w:rsidRDefault="002B314D" w:rsidP="003D248E">
            <w:pPr>
              <w:rPr>
                <w:b/>
                <w:bCs/>
                <w:sz w:val="20"/>
                <w:szCs w:val="20"/>
              </w:rPr>
            </w:pPr>
          </w:p>
        </w:tc>
        <w:tc>
          <w:tcPr>
            <w:tcW w:w="1433" w:type="dxa"/>
            <w:vMerge/>
          </w:tcPr>
          <w:p w:rsidR="002B314D" w:rsidRPr="00D05E17" w:rsidRDefault="002B314D" w:rsidP="003D248E">
            <w:pPr>
              <w:rPr>
                <w:sz w:val="20"/>
                <w:szCs w:val="20"/>
              </w:rPr>
            </w:pPr>
          </w:p>
        </w:tc>
        <w:tc>
          <w:tcPr>
            <w:tcW w:w="1742" w:type="dxa"/>
            <w:vMerge/>
          </w:tcPr>
          <w:p w:rsidR="002B314D" w:rsidRPr="00D05E17" w:rsidRDefault="002B314D" w:rsidP="003D248E">
            <w:pPr>
              <w:rPr>
                <w:sz w:val="20"/>
                <w:szCs w:val="20"/>
              </w:rPr>
            </w:pPr>
          </w:p>
        </w:tc>
        <w:tc>
          <w:tcPr>
            <w:tcW w:w="1189" w:type="dxa"/>
            <w:vMerge/>
          </w:tcPr>
          <w:p w:rsidR="002B314D" w:rsidRPr="00D05E17" w:rsidRDefault="002B314D" w:rsidP="003D248E">
            <w:pPr>
              <w:rPr>
                <w:sz w:val="20"/>
                <w:szCs w:val="20"/>
              </w:rPr>
            </w:pPr>
          </w:p>
        </w:tc>
        <w:tc>
          <w:tcPr>
            <w:tcW w:w="968"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c>
          <w:tcPr>
            <w:tcW w:w="1260"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c>
          <w:tcPr>
            <w:tcW w:w="574" w:type="dxa"/>
            <w:gridSpan w:val="2"/>
          </w:tcPr>
          <w:p w:rsidR="002B314D" w:rsidRPr="00D05E17" w:rsidRDefault="002B314D" w:rsidP="003D248E">
            <w:pPr>
              <w:rPr>
                <w:sz w:val="20"/>
                <w:szCs w:val="20"/>
              </w:rPr>
            </w:pPr>
          </w:p>
          <w:p w:rsidR="002B314D" w:rsidRPr="00D05E17" w:rsidRDefault="002B314D" w:rsidP="003D248E">
            <w:pPr>
              <w:rPr>
                <w:sz w:val="20"/>
                <w:szCs w:val="20"/>
              </w:rPr>
            </w:pPr>
            <w:r w:rsidRPr="00D05E17">
              <w:rPr>
                <w:sz w:val="20"/>
                <w:szCs w:val="20"/>
              </w:rPr>
              <w:t xml:space="preserve">8% изпращат попълнени формуляри </w:t>
            </w:r>
          </w:p>
        </w:tc>
        <w:tc>
          <w:tcPr>
            <w:tcW w:w="574" w:type="dxa"/>
          </w:tcPr>
          <w:p w:rsidR="002B314D" w:rsidRPr="00D05E17" w:rsidRDefault="002B314D" w:rsidP="003D248E">
            <w:pPr>
              <w:rPr>
                <w:sz w:val="20"/>
                <w:szCs w:val="20"/>
              </w:rPr>
            </w:pPr>
          </w:p>
          <w:p w:rsidR="002B314D" w:rsidRPr="00D05E17" w:rsidRDefault="002B314D" w:rsidP="003D248E">
            <w:pPr>
              <w:rPr>
                <w:sz w:val="20"/>
                <w:szCs w:val="20"/>
              </w:rPr>
            </w:pPr>
          </w:p>
          <w:p w:rsidR="002B314D" w:rsidRPr="00D05E17" w:rsidRDefault="002B314D" w:rsidP="003D248E">
            <w:pPr>
              <w:rPr>
                <w:sz w:val="20"/>
                <w:szCs w:val="20"/>
              </w:rPr>
            </w:pPr>
            <w:r w:rsidRPr="00D05E17">
              <w:rPr>
                <w:sz w:val="20"/>
                <w:szCs w:val="20"/>
              </w:rPr>
              <w:t xml:space="preserve">21% </w:t>
            </w:r>
          </w:p>
        </w:tc>
        <w:tc>
          <w:tcPr>
            <w:tcW w:w="1260"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c>
          <w:tcPr>
            <w:tcW w:w="1080" w:type="dxa"/>
            <w:vMerge/>
          </w:tcPr>
          <w:p w:rsidR="002B314D" w:rsidRPr="00D05E17" w:rsidRDefault="002B314D" w:rsidP="003D248E">
            <w:pPr>
              <w:rPr>
                <w:sz w:val="20"/>
                <w:szCs w:val="20"/>
              </w:rPr>
            </w:pPr>
          </w:p>
        </w:tc>
      </w:tr>
      <w:tr w:rsidR="002B314D" w:rsidRPr="00D05E17" w:rsidTr="00E20DC1">
        <w:trPr>
          <w:trHeight w:val="2040"/>
        </w:trPr>
        <w:tc>
          <w:tcPr>
            <w:tcW w:w="1883" w:type="dxa"/>
          </w:tcPr>
          <w:p w:rsidR="002B314D" w:rsidRPr="00D05E17" w:rsidRDefault="002B314D" w:rsidP="003D248E">
            <w:pPr>
              <w:rPr>
                <w:b/>
                <w:bCs/>
                <w:sz w:val="20"/>
                <w:szCs w:val="20"/>
              </w:rPr>
            </w:pPr>
            <w:r w:rsidRPr="00D05E17">
              <w:rPr>
                <w:b/>
                <w:bCs/>
                <w:sz w:val="20"/>
                <w:szCs w:val="20"/>
              </w:rPr>
              <w:t xml:space="preserve">4.2. </w:t>
            </w:r>
            <w:r w:rsidRPr="00D05E17">
              <w:rPr>
                <w:sz w:val="20"/>
                <w:szCs w:val="20"/>
              </w:rPr>
              <w:t>Трансгранични публични услуги</w:t>
            </w:r>
          </w:p>
        </w:tc>
        <w:tc>
          <w:tcPr>
            <w:tcW w:w="1433" w:type="dxa"/>
          </w:tcPr>
          <w:p w:rsidR="002B314D" w:rsidRPr="00D05E17" w:rsidRDefault="002B314D" w:rsidP="003D248E">
            <w:pPr>
              <w:rPr>
                <w:sz w:val="20"/>
                <w:szCs w:val="20"/>
              </w:rPr>
            </w:pPr>
            <w:r w:rsidRPr="00D05E17">
              <w:rPr>
                <w:sz w:val="20"/>
                <w:szCs w:val="20"/>
              </w:rPr>
              <w:t>Не по-късно от 2015 г. да са на разположение онлайн всички основни трансгранични публични услуги, съдържащи се в списъка, по който държавите-членки трябва да се споразумеят до 2011 г.</w:t>
            </w:r>
          </w:p>
        </w:tc>
        <w:tc>
          <w:tcPr>
            <w:tcW w:w="1742" w:type="dxa"/>
          </w:tcPr>
          <w:p w:rsidR="002B314D" w:rsidRPr="00D05E17" w:rsidRDefault="002B314D" w:rsidP="003D248E">
            <w:pPr>
              <w:rPr>
                <w:sz w:val="20"/>
                <w:szCs w:val="20"/>
              </w:rPr>
            </w:pPr>
            <w:r w:rsidRPr="00D05E17">
              <w:rPr>
                <w:sz w:val="20"/>
                <w:szCs w:val="20"/>
              </w:rPr>
              <w:t>липсва изходно равнище</w:t>
            </w:r>
          </w:p>
        </w:tc>
        <w:tc>
          <w:tcPr>
            <w:tcW w:w="1189" w:type="dxa"/>
          </w:tcPr>
          <w:p w:rsidR="002B314D" w:rsidRPr="00D05E17" w:rsidRDefault="002B314D" w:rsidP="003D248E">
            <w:pPr>
              <w:rPr>
                <w:sz w:val="20"/>
                <w:szCs w:val="20"/>
              </w:rPr>
            </w:pPr>
            <w:r w:rsidRPr="00D05E17">
              <w:rPr>
                <w:sz w:val="20"/>
                <w:szCs w:val="20"/>
              </w:rPr>
              <w:t> </w:t>
            </w:r>
          </w:p>
        </w:tc>
        <w:tc>
          <w:tcPr>
            <w:tcW w:w="968"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c>
          <w:tcPr>
            <w:tcW w:w="126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c>
          <w:tcPr>
            <w:tcW w:w="1148" w:type="dxa"/>
            <w:gridSpan w:val="3"/>
          </w:tcPr>
          <w:p w:rsidR="002B314D" w:rsidRPr="00D05E17" w:rsidRDefault="002B314D" w:rsidP="003D248E">
            <w:pPr>
              <w:rPr>
                <w:sz w:val="20"/>
                <w:szCs w:val="20"/>
              </w:rPr>
            </w:pPr>
            <w:r w:rsidRPr="00D05E17">
              <w:rPr>
                <w:sz w:val="20"/>
                <w:szCs w:val="20"/>
              </w:rPr>
              <w:t xml:space="preserve"> постигнато споразумение м/у ДЧ </w:t>
            </w:r>
          </w:p>
        </w:tc>
        <w:tc>
          <w:tcPr>
            <w:tcW w:w="1260" w:type="dxa"/>
          </w:tcPr>
          <w:p w:rsidR="002B314D" w:rsidRPr="00D05E17" w:rsidRDefault="002B314D" w:rsidP="003D248E">
            <w:pPr>
              <w:rPr>
                <w:sz w:val="20"/>
                <w:szCs w:val="20"/>
              </w:rPr>
            </w:pPr>
            <w:r w:rsidRPr="00D05E17">
              <w:rPr>
                <w:sz w:val="20"/>
                <w:szCs w:val="20"/>
              </w:rPr>
              <w:t>цел: не по-късно от 2015 г. да са на разположение онлайн всички основни трансгранични публични услуги, съдържащи се в списъка, по който държавите-членки трябва да се споразумеят до 2011 г.</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r>
      <w:tr w:rsidR="002B314D" w:rsidRPr="00D05E17" w:rsidTr="00E20DC1">
        <w:trPr>
          <w:trHeight w:val="330"/>
        </w:trPr>
        <w:tc>
          <w:tcPr>
            <w:tcW w:w="15203" w:type="dxa"/>
            <w:gridSpan w:val="14"/>
            <w:shd w:val="clear" w:color="auto" w:fill="CCFFCC"/>
            <w:vAlign w:val="center"/>
          </w:tcPr>
          <w:p w:rsidR="002B314D" w:rsidRPr="00D05E17" w:rsidRDefault="002B314D" w:rsidP="003D248E">
            <w:pPr>
              <w:jc w:val="center"/>
              <w:rPr>
                <w:b/>
                <w:bCs/>
                <w:sz w:val="20"/>
                <w:szCs w:val="20"/>
              </w:rPr>
            </w:pPr>
            <w:r w:rsidRPr="00D05E17">
              <w:rPr>
                <w:b/>
                <w:bCs/>
                <w:sz w:val="20"/>
                <w:szCs w:val="20"/>
              </w:rPr>
              <w:t xml:space="preserve"> 5. Научни изследвания и иновации </w:t>
            </w:r>
          </w:p>
        </w:tc>
      </w:tr>
      <w:tr w:rsidR="002B314D" w:rsidRPr="00D05E17" w:rsidTr="00E20DC1">
        <w:trPr>
          <w:trHeight w:val="2940"/>
        </w:trPr>
        <w:tc>
          <w:tcPr>
            <w:tcW w:w="1883" w:type="dxa"/>
          </w:tcPr>
          <w:p w:rsidR="002B314D" w:rsidRPr="00D05E17" w:rsidRDefault="002B314D" w:rsidP="003D248E">
            <w:pPr>
              <w:rPr>
                <w:b/>
                <w:bCs/>
                <w:sz w:val="20"/>
                <w:szCs w:val="20"/>
              </w:rPr>
            </w:pPr>
            <w:r w:rsidRPr="00D05E17">
              <w:rPr>
                <w:b/>
                <w:bCs/>
                <w:sz w:val="20"/>
                <w:szCs w:val="20"/>
              </w:rPr>
              <w:t xml:space="preserve">5.1. </w:t>
            </w:r>
            <w:r w:rsidRPr="00D05E17">
              <w:rPr>
                <w:sz w:val="20"/>
                <w:szCs w:val="20"/>
              </w:rPr>
              <w:t>Нарастване на научноизследователската и развойната дейност в областта на ИКТ</w:t>
            </w:r>
          </w:p>
        </w:tc>
        <w:tc>
          <w:tcPr>
            <w:tcW w:w="1433" w:type="dxa"/>
          </w:tcPr>
          <w:p w:rsidR="002B314D" w:rsidRPr="00D05E17" w:rsidRDefault="002B314D" w:rsidP="003D248E">
            <w:pPr>
              <w:rPr>
                <w:sz w:val="20"/>
                <w:szCs w:val="20"/>
              </w:rPr>
            </w:pPr>
            <w:r w:rsidRPr="00D05E17">
              <w:rPr>
                <w:sz w:val="20"/>
                <w:szCs w:val="20"/>
              </w:rPr>
              <w:t>Удвояване на публичните инвестиции на 11 милиарда EUR.</w:t>
            </w:r>
          </w:p>
        </w:tc>
        <w:tc>
          <w:tcPr>
            <w:tcW w:w="1742" w:type="dxa"/>
          </w:tcPr>
          <w:p w:rsidR="002B314D" w:rsidRDefault="002B314D" w:rsidP="003D248E">
            <w:pPr>
              <w:rPr>
                <w:sz w:val="20"/>
                <w:szCs w:val="20"/>
              </w:rPr>
            </w:pPr>
            <w:r w:rsidRPr="00D05E17">
              <w:rPr>
                <w:sz w:val="20"/>
                <w:szCs w:val="20"/>
              </w:rPr>
              <w:t xml:space="preserve">През </w:t>
            </w:r>
            <w:smartTag w:uri="urn:schemas-microsoft-com:office:smarttags" w:element="metricconverter">
              <w:smartTagPr>
                <w:attr w:name="ProductID" w:val="2007 г"/>
              </w:smartTagPr>
              <w:r w:rsidRPr="00D05E17">
                <w:rPr>
                  <w:sz w:val="20"/>
                  <w:szCs w:val="20"/>
                </w:rPr>
                <w:t>2007 г</w:t>
              </w:r>
            </w:smartTag>
            <w:r w:rsidRPr="00D05E17">
              <w:rPr>
                <w:sz w:val="20"/>
                <w:szCs w:val="20"/>
              </w:rPr>
              <w:t xml:space="preserve">. общите правителствени бюджетни кредити или разходи за научноизследователска и развойна дейност (GBAORD) в областта на ИКТ възлязоха по номинална стойност на 5,7 милиарда евро   </w:t>
            </w:r>
          </w:p>
          <w:p w:rsidR="002B314D" w:rsidRDefault="002B314D" w:rsidP="003D248E">
            <w:pPr>
              <w:rPr>
                <w:sz w:val="20"/>
                <w:szCs w:val="20"/>
              </w:rPr>
            </w:pPr>
          </w:p>
          <w:p w:rsidR="002B314D" w:rsidRPr="00D05E17" w:rsidRDefault="002B314D" w:rsidP="003D248E">
            <w:pPr>
              <w:rPr>
                <w:sz w:val="20"/>
                <w:szCs w:val="20"/>
                <w:lang w:val="ru-RU"/>
              </w:rPr>
            </w:pPr>
            <w:r>
              <w:rPr>
                <w:sz w:val="20"/>
                <w:szCs w:val="20"/>
              </w:rPr>
              <w:t xml:space="preserve"> През 2010 дял на ИКТ в  BERD 17</w:t>
            </w:r>
            <w:r w:rsidRPr="00D05E17">
              <w:rPr>
                <w:sz w:val="20"/>
                <w:szCs w:val="20"/>
              </w:rPr>
              <w:t>%</w:t>
            </w:r>
            <w:r w:rsidRPr="00D05E17">
              <w:rPr>
                <w:sz w:val="20"/>
                <w:szCs w:val="20"/>
                <w:lang w:val="ru-RU"/>
              </w:rPr>
              <w:t>**</w:t>
            </w:r>
          </w:p>
        </w:tc>
        <w:tc>
          <w:tcPr>
            <w:tcW w:w="1189" w:type="dxa"/>
          </w:tcPr>
          <w:p w:rsidR="002B314D" w:rsidRDefault="002B314D" w:rsidP="002B64DE">
            <w:pPr>
              <w:rPr>
                <w:b/>
                <w:sz w:val="20"/>
                <w:szCs w:val="20"/>
              </w:rPr>
            </w:pPr>
            <w:r w:rsidRPr="009A4FAC">
              <w:rPr>
                <w:b/>
                <w:sz w:val="20"/>
                <w:szCs w:val="20"/>
              </w:rPr>
              <w:t xml:space="preserve">Източник ЦПЕ </w:t>
            </w:r>
            <w:r>
              <w:rPr>
                <w:b/>
                <w:sz w:val="20"/>
                <w:szCs w:val="20"/>
              </w:rPr>
              <w:t>:</w:t>
            </w:r>
          </w:p>
          <w:p w:rsidR="002B314D" w:rsidRDefault="002B314D" w:rsidP="003D248E">
            <w:pPr>
              <w:rPr>
                <w:b/>
                <w:sz w:val="20"/>
                <w:szCs w:val="20"/>
              </w:rPr>
            </w:pPr>
            <w:r>
              <w:rPr>
                <w:b/>
                <w:sz w:val="20"/>
                <w:szCs w:val="20"/>
              </w:rPr>
              <w:t>2010****</w:t>
            </w:r>
          </w:p>
          <w:p w:rsidR="002B314D" w:rsidRDefault="002B314D" w:rsidP="003D248E">
            <w:pPr>
              <w:rPr>
                <w:b/>
                <w:sz w:val="20"/>
                <w:szCs w:val="20"/>
              </w:rPr>
            </w:pPr>
          </w:p>
          <w:p w:rsidR="002B314D" w:rsidRPr="00D05E17" w:rsidRDefault="002B314D" w:rsidP="003D248E">
            <w:pPr>
              <w:rPr>
                <w:sz w:val="20"/>
                <w:szCs w:val="20"/>
              </w:rPr>
            </w:pPr>
            <w:r w:rsidRPr="009A4FAC">
              <w:rPr>
                <w:b/>
                <w:sz w:val="20"/>
                <w:szCs w:val="20"/>
              </w:rPr>
              <w:t>източник НСИ:</w:t>
            </w:r>
            <w:r w:rsidRPr="00D05E17">
              <w:rPr>
                <w:sz w:val="20"/>
                <w:szCs w:val="20"/>
              </w:rPr>
              <w:t xml:space="preserve">          </w:t>
            </w:r>
            <w:r w:rsidRPr="009A4FAC">
              <w:rPr>
                <w:b/>
                <w:sz w:val="20"/>
                <w:szCs w:val="20"/>
              </w:rPr>
              <w:t>2008</w:t>
            </w:r>
            <w:r w:rsidRPr="00D05E17">
              <w:rPr>
                <w:sz w:val="20"/>
                <w:szCs w:val="20"/>
              </w:rPr>
              <w:t xml:space="preserve"> (ИКT BERD)  €10.0 M;                                    дял ИКТ в BERD  19.3%                                 </w:t>
            </w:r>
            <w:r w:rsidRPr="009A4FAC">
              <w:rPr>
                <w:b/>
                <w:sz w:val="20"/>
                <w:szCs w:val="20"/>
              </w:rPr>
              <w:t>2009</w:t>
            </w:r>
            <w:r w:rsidRPr="00D05E17">
              <w:rPr>
                <w:sz w:val="20"/>
                <w:szCs w:val="20"/>
              </w:rPr>
              <w:t xml:space="preserve"> (ИКT BERD)  €7.2 M;                          дял ИКТ в BERD  13.1%                                   </w:t>
            </w:r>
            <w:r w:rsidRPr="009A4FAC">
              <w:rPr>
                <w:b/>
                <w:sz w:val="20"/>
                <w:szCs w:val="20"/>
              </w:rPr>
              <w:t>2010</w:t>
            </w:r>
            <w:r>
              <w:rPr>
                <w:sz w:val="20"/>
                <w:szCs w:val="20"/>
              </w:rPr>
              <w:t xml:space="preserve"> (ИКT BERD)  €7,1</w:t>
            </w:r>
            <w:r w:rsidRPr="00D05E17">
              <w:rPr>
                <w:sz w:val="20"/>
                <w:szCs w:val="20"/>
              </w:rPr>
              <w:t xml:space="preserve"> M;                          дял ИКТ в BERD  6.6%                                  </w:t>
            </w:r>
          </w:p>
        </w:tc>
        <w:tc>
          <w:tcPr>
            <w:tcW w:w="968" w:type="dxa"/>
          </w:tcPr>
          <w:p w:rsidR="002B314D" w:rsidRPr="009A4FAC" w:rsidRDefault="002B314D" w:rsidP="003D248E">
            <w:pPr>
              <w:rPr>
                <w:b/>
                <w:sz w:val="20"/>
                <w:szCs w:val="20"/>
              </w:rPr>
            </w:pPr>
            <w:r w:rsidRPr="009A4FAC">
              <w:rPr>
                <w:b/>
                <w:sz w:val="20"/>
                <w:szCs w:val="20"/>
              </w:rPr>
              <w:t xml:space="preserve">Източник ЦПЕ </w:t>
            </w:r>
            <w:r>
              <w:rPr>
                <w:b/>
                <w:sz w:val="20"/>
                <w:szCs w:val="20"/>
              </w:rPr>
              <w:t>:</w:t>
            </w:r>
          </w:p>
          <w:p w:rsidR="002B314D" w:rsidRDefault="002B314D" w:rsidP="00A95CD6">
            <w:pPr>
              <w:rPr>
                <w:sz w:val="20"/>
                <w:szCs w:val="20"/>
              </w:rPr>
            </w:pPr>
          </w:p>
          <w:p w:rsidR="002B314D" w:rsidRDefault="002B314D" w:rsidP="00A95CD6">
            <w:pPr>
              <w:rPr>
                <w:sz w:val="20"/>
                <w:szCs w:val="20"/>
              </w:rPr>
            </w:pPr>
            <w:r>
              <w:rPr>
                <w:sz w:val="20"/>
                <w:szCs w:val="20"/>
              </w:rPr>
              <w:t>(ICT GBAORD)</w:t>
            </w:r>
          </w:p>
          <w:p w:rsidR="002B314D" w:rsidRDefault="002B314D" w:rsidP="00A95CD6">
            <w:pPr>
              <w:rPr>
                <w:sz w:val="20"/>
                <w:szCs w:val="20"/>
              </w:rPr>
            </w:pPr>
            <w:r>
              <w:rPr>
                <w:sz w:val="20"/>
                <w:szCs w:val="20"/>
              </w:rPr>
              <w:t xml:space="preserve">  €5</w:t>
            </w:r>
            <w:r w:rsidRPr="00D05E17">
              <w:rPr>
                <w:sz w:val="20"/>
                <w:szCs w:val="20"/>
              </w:rPr>
              <w:t xml:space="preserve">M </w:t>
            </w:r>
            <w:r>
              <w:rPr>
                <w:sz w:val="20"/>
                <w:szCs w:val="20"/>
              </w:rPr>
              <w:br/>
            </w:r>
          </w:p>
          <w:p w:rsidR="002B314D" w:rsidRDefault="002B314D" w:rsidP="00A95CD6">
            <w:pPr>
              <w:rPr>
                <w:sz w:val="20"/>
                <w:szCs w:val="20"/>
              </w:rPr>
            </w:pPr>
            <w:r>
              <w:rPr>
                <w:sz w:val="20"/>
                <w:szCs w:val="20"/>
              </w:rPr>
              <w:t xml:space="preserve"> (ICT GBAORD)</w:t>
            </w:r>
            <w:r w:rsidRPr="00D05E17">
              <w:rPr>
                <w:sz w:val="20"/>
                <w:szCs w:val="20"/>
              </w:rPr>
              <w:t xml:space="preserve"> -% </w:t>
            </w:r>
            <w:r w:rsidRPr="00D05E17">
              <w:rPr>
                <w:sz w:val="20"/>
                <w:szCs w:val="20"/>
                <w:lang w:val="en-US"/>
              </w:rPr>
              <w:t>of total</w:t>
            </w:r>
            <w:r w:rsidRPr="00D05E17">
              <w:rPr>
                <w:sz w:val="20"/>
                <w:szCs w:val="20"/>
              </w:rPr>
              <w:t xml:space="preserve"> GBAORD5</w:t>
            </w:r>
            <w:r>
              <w:rPr>
                <w:sz w:val="20"/>
                <w:szCs w:val="20"/>
              </w:rPr>
              <w:t>,4%</w:t>
            </w:r>
          </w:p>
          <w:p w:rsidR="002B314D" w:rsidRDefault="002B314D" w:rsidP="00A95CD6">
            <w:pPr>
              <w:rPr>
                <w:sz w:val="20"/>
                <w:szCs w:val="20"/>
              </w:rPr>
            </w:pPr>
          </w:p>
          <w:p w:rsidR="002B314D" w:rsidRPr="009A4FAC" w:rsidRDefault="002B314D" w:rsidP="003D248E">
            <w:pPr>
              <w:rPr>
                <w:sz w:val="20"/>
                <w:szCs w:val="20"/>
              </w:rPr>
            </w:pPr>
            <w:r w:rsidRPr="009A4FAC">
              <w:rPr>
                <w:b/>
                <w:sz w:val="20"/>
                <w:szCs w:val="20"/>
              </w:rPr>
              <w:t>източник НСИ</w:t>
            </w:r>
            <w:r w:rsidRPr="00D05E17">
              <w:rPr>
                <w:sz w:val="20"/>
                <w:szCs w:val="20"/>
              </w:rPr>
              <w:t xml:space="preserve">:           (ИКT в BERD)  €3.2 M;                                    дял ИКТ в BERD  2.7%      </w:t>
            </w:r>
          </w:p>
          <w:p w:rsidR="002B314D" w:rsidRPr="00D05E17" w:rsidRDefault="002B314D" w:rsidP="003D248E">
            <w:pPr>
              <w:rPr>
                <w:sz w:val="20"/>
                <w:szCs w:val="20"/>
              </w:rPr>
            </w:pPr>
            <w:r w:rsidRPr="00D05E17">
              <w:rPr>
                <w:sz w:val="20"/>
                <w:szCs w:val="20"/>
              </w:rPr>
              <w:t xml:space="preserve">  </w:t>
            </w:r>
          </w:p>
        </w:tc>
        <w:tc>
          <w:tcPr>
            <w:tcW w:w="1080" w:type="dxa"/>
          </w:tcPr>
          <w:p w:rsidR="002B314D" w:rsidRPr="009A4FAC" w:rsidRDefault="002B314D" w:rsidP="009A4FAC">
            <w:pPr>
              <w:rPr>
                <w:b/>
                <w:sz w:val="20"/>
                <w:szCs w:val="20"/>
              </w:rPr>
            </w:pPr>
            <w:r w:rsidRPr="009A4FAC">
              <w:rPr>
                <w:b/>
                <w:sz w:val="20"/>
                <w:szCs w:val="20"/>
              </w:rPr>
              <w:t xml:space="preserve">Източник ЦПЕ </w:t>
            </w:r>
            <w:r>
              <w:rPr>
                <w:b/>
                <w:sz w:val="20"/>
                <w:szCs w:val="20"/>
              </w:rPr>
              <w:t>:</w:t>
            </w:r>
          </w:p>
          <w:p w:rsidR="002B314D" w:rsidRDefault="002B314D" w:rsidP="00A95CD6">
            <w:pPr>
              <w:rPr>
                <w:sz w:val="20"/>
                <w:szCs w:val="20"/>
              </w:rPr>
            </w:pPr>
          </w:p>
          <w:p w:rsidR="002B314D" w:rsidRDefault="002B314D" w:rsidP="00A95CD6">
            <w:pPr>
              <w:rPr>
                <w:sz w:val="20"/>
                <w:szCs w:val="20"/>
              </w:rPr>
            </w:pPr>
            <w:r>
              <w:rPr>
                <w:sz w:val="20"/>
                <w:szCs w:val="20"/>
              </w:rPr>
              <w:t>(ICT GBAORD)</w:t>
            </w:r>
          </w:p>
          <w:p w:rsidR="002B314D" w:rsidRDefault="002B314D" w:rsidP="00A95CD6">
            <w:pPr>
              <w:rPr>
                <w:sz w:val="20"/>
                <w:szCs w:val="20"/>
              </w:rPr>
            </w:pPr>
            <w:r>
              <w:rPr>
                <w:sz w:val="20"/>
                <w:szCs w:val="20"/>
              </w:rPr>
              <w:t xml:space="preserve">  €6118</w:t>
            </w:r>
            <w:r w:rsidRPr="00D05E17">
              <w:rPr>
                <w:sz w:val="20"/>
                <w:szCs w:val="20"/>
              </w:rPr>
              <w:t xml:space="preserve">M </w:t>
            </w:r>
          </w:p>
          <w:p w:rsidR="002B314D" w:rsidRDefault="002B314D" w:rsidP="00A95CD6">
            <w:pPr>
              <w:rPr>
                <w:sz w:val="20"/>
                <w:szCs w:val="20"/>
              </w:rPr>
            </w:pPr>
            <w:r>
              <w:rPr>
                <w:sz w:val="20"/>
                <w:szCs w:val="20"/>
              </w:rPr>
              <w:br/>
              <w:t xml:space="preserve"> </w:t>
            </w:r>
          </w:p>
          <w:p w:rsidR="002B314D" w:rsidRDefault="002B314D" w:rsidP="00A95CD6">
            <w:pPr>
              <w:rPr>
                <w:sz w:val="20"/>
                <w:szCs w:val="20"/>
              </w:rPr>
            </w:pPr>
            <w:r>
              <w:rPr>
                <w:sz w:val="20"/>
                <w:szCs w:val="20"/>
              </w:rPr>
              <w:t>(ICT GBAORD)</w:t>
            </w:r>
            <w:r w:rsidRPr="00D05E17">
              <w:rPr>
                <w:sz w:val="20"/>
                <w:szCs w:val="20"/>
              </w:rPr>
              <w:t xml:space="preserve"> -% </w:t>
            </w:r>
            <w:r w:rsidRPr="00D05E17">
              <w:rPr>
                <w:sz w:val="20"/>
                <w:szCs w:val="20"/>
                <w:lang w:val="en-US"/>
              </w:rPr>
              <w:t>of</w:t>
            </w:r>
            <w:r w:rsidRPr="00AC7438">
              <w:rPr>
                <w:sz w:val="20"/>
                <w:szCs w:val="20"/>
              </w:rPr>
              <w:t xml:space="preserve"> </w:t>
            </w:r>
            <w:r w:rsidRPr="00D05E17">
              <w:rPr>
                <w:sz w:val="20"/>
                <w:szCs w:val="20"/>
                <w:lang w:val="en-US"/>
              </w:rPr>
              <w:t>total</w:t>
            </w:r>
            <w:r w:rsidRPr="00D05E17">
              <w:rPr>
                <w:sz w:val="20"/>
                <w:szCs w:val="20"/>
              </w:rPr>
              <w:t xml:space="preserve"> GBAORD</w:t>
            </w:r>
            <w:r>
              <w:rPr>
                <w:sz w:val="20"/>
                <w:szCs w:val="20"/>
              </w:rPr>
              <w:t>6,6%</w:t>
            </w:r>
          </w:p>
          <w:p w:rsidR="002B314D" w:rsidRDefault="002B314D" w:rsidP="003D248E">
            <w:pPr>
              <w:rPr>
                <w:sz w:val="20"/>
                <w:szCs w:val="20"/>
              </w:rPr>
            </w:pPr>
          </w:p>
          <w:p w:rsidR="002B314D" w:rsidRDefault="002B314D" w:rsidP="003D248E">
            <w:pPr>
              <w:rPr>
                <w:sz w:val="20"/>
                <w:szCs w:val="20"/>
              </w:rPr>
            </w:pPr>
          </w:p>
          <w:p w:rsidR="002B314D" w:rsidRDefault="002B314D" w:rsidP="003D248E">
            <w:pPr>
              <w:rPr>
                <w:sz w:val="20"/>
                <w:szCs w:val="20"/>
              </w:rPr>
            </w:pPr>
          </w:p>
          <w:p w:rsidR="002B314D" w:rsidRDefault="002B314D" w:rsidP="003D248E">
            <w:pPr>
              <w:rPr>
                <w:sz w:val="20"/>
                <w:szCs w:val="20"/>
              </w:rPr>
            </w:pPr>
          </w:p>
          <w:p w:rsidR="002B314D" w:rsidRDefault="002B314D" w:rsidP="003D248E">
            <w:pPr>
              <w:rPr>
                <w:sz w:val="20"/>
                <w:szCs w:val="20"/>
              </w:rPr>
            </w:pPr>
          </w:p>
          <w:p w:rsidR="002B314D" w:rsidRDefault="002B314D" w:rsidP="003D248E">
            <w:pPr>
              <w:rPr>
                <w:sz w:val="20"/>
                <w:szCs w:val="20"/>
              </w:rPr>
            </w:pPr>
          </w:p>
          <w:p w:rsidR="002B314D" w:rsidRPr="00D05E17" w:rsidRDefault="002B314D" w:rsidP="00BA0D3A">
            <w:pPr>
              <w:rPr>
                <w:sz w:val="20"/>
                <w:szCs w:val="20"/>
              </w:rPr>
            </w:pPr>
          </w:p>
        </w:tc>
        <w:tc>
          <w:tcPr>
            <w:tcW w:w="1260" w:type="dxa"/>
          </w:tcPr>
          <w:p w:rsidR="002B314D" w:rsidRPr="009A4FAC" w:rsidRDefault="002B314D" w:rsidP="009A4FAC">
            <w:pPr>
              <w:rPr>
                <w:b/>
                <w:sz w:val="20"/>
                <w:szCs w:val="20"/>
              </w:rPr>
            </w:pPr>
            <w:r w:rsidRPr="009A4FAC">
              <w:rPr>
                <w:b/>
                <w:sz w:val="20"/>
                <w:szCs w:val="20"/>
              </w:rPr>
              <w:t xml:space="preserve">Източник ЦПЕ </w:t>
            </w:r>
            <w:r>
              <w:rPr>
                <w:b/>
                <w:sz w:val="20"/>
                <w:szCs w:val="20"/>
              </w:rPr>
              <w:t>:</w:t>
            </w:r>
          </w:p>
          <w:p w:rsidR="002B314D" w:rsidRDefault="002B314D" w:rsidP="009A4FAC">
            <w:pPr>
              <w:rPr>
                <w:sz w:val="20"/>
                <w:szCs w:val="20"/>
              </w:rPr>
            </w:pPr>
          </w:p>
          <w:p w:rsidR="002B314D" w:rsidRPr="00D05E17" w:rsidRDefault="002B314D" w:rsidP="009A4FAC">
            <w:pPr>
              <w:rPr>
                <w:sz w:val="20"/>
                <w:szCs w:val="20"/>
              </w:rPr>
            </w:pPr>
            <w:r w:rsidRPr="00D05E17">
              <w:rPr>
                <w:sz w:val="20"/>
                <w:szCs w:val="20"/>
              </w:rPr>
              <w:t xml:space="preserve"> ( ICT GBAORD)  € </w:t>
            </w:r>
            <w:smartTag w:uri="urn:schemas-microsoft-com:office:smarttags" w:element="metricconverter">
              <w:smartTagPr>
                <w:attr w:name="ProductID" w:val="6 M"/>
              </w:smartTagPr>
              <w:r w:rsidRPr="00D05E17">
                <w:rPr>
                  <w:sz w:val="20"/>
                  <w:szCs w:val="20"/>
                </w:rPr>
                <w:t>6 M</w:t>
              </w:r>
            </w:smartTag>
          </w:p>
          <w:p w:rsidR="002B314D" w:rsidRPr="00D05E17" w:rsidRDefault="002B314D" w:rsidP="003D248E">
            <w:pPr>
              <w:rPr>
                <w:sz w:val="20"/>
                <w:szCs w:val="20"/>
              </w:rPr>
            </w:pPr>
          </w:p>
          <w:p w:rsidR="002B314D" w:rsidRDefault="002B314D" w:rsidP="003D248E">
            <w:pPr>
              <w:rPr>
                <w:sz w:val="20"/>
                <w:szCs w:val="20"/>
              </w:rPr>
            </w:pPr>
          </w:p>
          <w:p w:rsidR="002B314D" w:rsidRPr="00D05E17" w:rsidRDefault="002B314D" w:rsidP="003D248E">
            <w:pPr>
              <w:rPr>
                <w:sz w:val="20"/>
                <w:szCs w:val="20"/>
              </w:rPr>
            </w:pPr>
            <w:r w:rsidRPr="00D05E17">
              <w:rPr>
                <w:sz w:val="20"/>
                <w:szCs w:val="20"/>
              </w:rPr>
              <w:t xml:space="preserve">( ICT GBAORD-% </w:t>
            </w:r>
            <w:r w:rsidRPr="00D05E17">
              <w:rPr>
                <w:sz w:val="20"/>
                <w:szCs w:val="20"/>
                <w:lang w:val="en-US"/>
              </w:rPr>
              <w:t>of</w:t>
            </w:r>
            <w:r w:rsidRPr="00580A23">
              <w:rPr>
                <w:sz w:val="20"/>
                <w:szCs w:val="20"/>
              </w:rPr>
              <w:t xml:space="preserve"> </w:t>
            </w:r>
            <w:r w:rsidRPr="00D05E17">
              <w:rPr>
                <w:sz w:val="20"/>
                <w:szCs w:val="20"/>
                <w:lang w:val="en-US"/>
              </w:rPr>
              <w:t>total</w:t>
            </w:r>
            <w:r w:rsidRPr="00D05E17">
              <w:rPr>
                <w:sz w:val="20"/>
                <w:szCs w:val="20"/>
              </w:rPr>
              <w:t xml:space="preserve"> GBAORD</w:t>
            </w:r>
            <w:r w:rsidRPr="00580A23">
              <w:rPr>
                <w:sz w:val="20"/>
                <w:szCs w:val="20"/>
              </w:rPr>
              <w:t xml:space="preserve"> </w:t>
            </w:r>
            <w:r w:rsidRPr="00D05E17">
              <w:rPr>
                <w:sz w:val="20"/>
                <w:szCs w:val="20"/>
              </w:rPr>
              <w:t xml:space="preserve">)  </w:t>
            </w:r>
            <w:r w:rsidRPr="00580A23">
              <w:rPr>
                <w:sz w:val="20"/>
                <w:szCs w:val="20"/>
              </w:rPr>
              <w:t>6,3</w:t>
            </w:r>
          </w:p>
          <w:p w:rsidR="002B314D" w:rsidRPr="00D05E17" w:rsidRDefault="002B314D" w:rsidP="003D248E">
            <w:pPr>
              <w:rPr>
                <w:sz w:val="20"/>
                <w:szCs w:val="20"/>
              </w:rPr>
            </w:pPr>
          </w:p>
          <w:p w:rsidR="002B314D" w:rsidRDefault="002B314D" w:rsidP="003D248E">
            <w:pPr>
              <w:rPr>
                <w:b/>
                <w:sz w:val="20"/>
                <w:szCs w:val="20"/>
              </w:rPr>
            </w:pPr>
          </w:p>
          <w:p w:rsidR="002B314D" w:rsidRPr="00D05E17" w:rsidRDefault="002B314D" w:rsidP="003D248E">
            <w:pPr>
              <w:rPr>
                <w:sz w:val="20"/>
                <w:szCs w:val="20"/>
              </w:rPr>
            </w:pPr>
            <w:r w:rsidRPr="009A4FAC">
              <w:rPr>
                <w:b/>
                <w:sz w:val="20"/>
                <w:szCs w:val="20"/>
              </w:rPr>
              <w:t>източник НСИ:</w:t>
            </w:r>
            <w:r w:rsidRPr="00737EDB">
              <w:rPr>
                <w:sz w:val="20"/>
                <w:szCs w:val="20"/>
              </w:rPr>
              <w:t xml:space="preserve">           (ИКT в BERD)  €</w:t>
            </w:r>
            <w:r w:rsidRPr="00737EDB">
              <w:rPr>
                <w:sz w:val="20"/>
                <w:szCs w:val="20"/>
                <w:lang w:val="ru-RU"/>
              </w:rPr>
              <w:t>7.9</w:t>
            </w:r>
            <w:r w:rsidRPr="00737EDB">
              <w:rPr>
                <w:sz w:val="20"/>
                <w:szCs w:val="20"/>
              </w:rPr>
              <w:t xml:space="preserve"> M;                                    дял ИКТ в BERD  </w:t>
            </w:r>
            <w:r w:rsidRPr="00737EDB">
              <w:rPr>
                <w:sz w:val="20"/>
                <w:szCs w:val="20"/>
                <w:lang w:val="ru-RU"/>
              </w:rPr>
              <w:t>5.1%</w:t>
            </w:r>
          </w:p>
        </w:tc>
        <w:tc>
          <w:tcPr>
            <w:tcW w:w="1080" w:type="dxa"/>
          </w:tcPr>
          <w:p w:rsidR="002B314D" w:rsidRPr="009A4FAC" w:rsidRDefault="002B314D" w:rsidP="009A4FAC">
            <w:pPr>
              <w:rPr>
                <w:b/>
                <w:sz w:val="20"/>
                <w:szCs w:val="20"/>
              </w:rPr>
            </w:pPr>
            <w:r w:rsidRPr="009A4FAC">
              <w:rPr>
                <w:b/>
                <w:sz w:val="20"/>
                <w:szCs w:val="20"/>
              </w:rPr>
              <w:t xml:space="preserve">Източник ЦПЕ </w:t>
            </w:r>
            <w:r>
              <w:rPr>
                <w:b/>
                <w:sz w:val="20"/>
                <w:szCs w:val="20"/>
              </w:rPr>
              <w:t>:</w:t>
            </w:r>
          </w:p>
          <w:p w:rsidR="002B314D" w:rsidRDefault="002B314D" w:rsidP="003D248E">
            <w:pPr>
              <w:rPr>
                <w:sz w:val="20"/>
                <w:szCs w:val="20"/>
              </w:rPr>
            </w:pPr>
            <w:r w:rsidRPr="00D05E17">
              <w:rPr>
                <w:sz w:val="20"/>
                <w:szCs w:val="20"/>
              </w:rPr>
              <w:t> </w:t>
            </w:r>
          </w:p>
          <w:p w:rsidR="002B314D" w:rsidRPr="009A4FAC" w:rsidRDefault="002B314D" w:rsidP="003D248E">
            <w:pPr>
              <w:rPr>
                <w:sz w:val="20"/>
                <w:szCs w:val="20"/>
              </w:rPr>
            </w:pPr>
            <w:r w:rsidRPr="00D05E17">
              <w:rPr>
                <w:sz w:val="20"/>
                <w:szCs w:val="20"/>
              </w:rPr>
              <w:t xml:space="preserve">( ICT GBAORD)  € 5962M </w:t>
            </w:r>
          </w:p>
          <w:p w:rsidR="002B314D" w:rsidRPr="009A4FAC" w:rsidRDefault="002B314D" w:rsidP="003D248E">
            <w:pPr>
              <w:rPr>
                <w:sz w:val="20"/>
                <w:szCs w:val="20"/>
              </w:rPr>
            </w:pPr>
          </w:p>
          <w:p w:rsidR="002B314D" w:rsidRDefault="002B314D" w:rsidP="003D248E">
            <w:pPr>
              <w:rPr>
                <w:sz w:val="20"/>
                <w:szCs w:val="20"/>
              </w:rPr>
            </w:pPr>
          </w:p>
          <w:p w:rsidR="002B314D" w:rsidRPr="00AC7438" w:rsidRDefault="002B314D" w:rsidP="003D248E">
            <w:pPr>
              <w:rPr>
                <w:sz w:val="20"/>
                <w:szCs w:val="20"/>
              </w:rPr>
            </w:pPr>
            <w:r w:rsidRPr="00D05E17">
              <w:rPr>
                <w:sz w:val="20"/>
                <w:szCs w:val="20"/>
              </w:rPr>
              <w:t xml:space="preserve">( ICT GBAORD-% </w:t>
            </w:r>
            <w:r w:rsidRPr="00D05E17">
              <w:rPr>
                <w:sz w:val="20"/>
                <w:szCs w:val="20"/>
                <w:lang w:val="en-US"/>
              </w:rPr>
              <w:t>of</w:t>
            </w:r>
            <w:r w:rsidRPr="00AC7438">
              <w:rPr>
                <w:sz w:val="20"/>
                <w:szCs w:val="20"/>
              </w:rPr>
              <w:t xml:space="preserve"> </w:t>
            </w:r>
            <w:r w:rsidRPr="00D05E17">
              <w:rPr>
                <w:sz w:val="20"/>
                <w:szCs w:val="20"/>
                <w:lang w:val="en-US"/>
              </w:rPr>
              <w:t>total</w:t>
            </w:r>
            <w:r w:rsidRPr="00D05E17">
              <w:rPr>
                <w:sz w:val="20"/>
                <w:szCs w:val="20"/>
              </w:rPr>
              <w:t xml:space="preserve"> GBAORD</w:t>
            </w:r>
            <w:r w:rsidRPr="00AC7438">
              <w:rPr>
                <w:sz w:val="20"/>
                <w:szCs w:val="20"/>
              </w:rPr>
              <w:t xml:space="preserve"> </w:t>
            </w:r>
            <w:r w:rsidRPr="00D05E17">
              <w:rPr>
                <w:sz w:val="20"/>
                <w:szCs w:val="20"/>
              </w:rPr>
              <w:t xml:space="preserve">)  </w:t>
            </w:r>
            <w:r w:rsidRPr="00AC7438">
              <w:rPr>
                <w:sz w:val="20"/>
                <w:szCs w:val="20"/>
              </w:rPr>
              <w:t>6,6</w:t>
            </w:r>
          </w:p>
        </w:tc>
        <w:tc>
          <w:tcPr>
            <w:tcW w:w="1148" w:type="dxa"/>
            <w:gridSpan w:val="3"/>
          </w:tcPr>
          <w:p w:rsidR="002B314D" w:rsidRPr="00D05E17" w:rsidRDefault="002B314D" w:rsidP="003D248E">
            <w:pPr>
              <w:rPr>
                <w:sz w:val="20"/>
                <w:szCs w:val="20"/>
              </w:rPr>
            </w:pPr>
          </w:p>
        </w:tc>
        <w:tc>
          <w:tcPr>
            <w:tcW w:w="126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цел удвояване на публ.инвестиции</w:t>
            </w:r>
          </w:p>
        </w:tc>
      </w:tr>
      <w:tr w:rsidR="002B314D" w:rsidRPr="00D05E17" w:rsidTr="00E20DC1">
        <w:trPr>
          <w:trHeight w:val="330"/>
        </w:trPr>
        <w:tc>
          <w:tcPr>
            <w:tcW w:w="15203" w:type="dxa"/>
            <w:gridSpan w:val="14"/>
            <w:shd w:val="clear" w:color="auto" w:fill="CCFFCC"/>
            <w:vAlign w:val="center"/>
          </w:tcPr>
          <w:p w:rsidR="002B314D" w:rsidRPr="00D05E17" w:rsidRDefault="002B314D" w:rsidP="003D248E">
            <w:pPr>
              <w:jc w:val="center"/>
              <w:rPr>
                <w:b/>
                <w:bCs/>
                <w:sz w:val="20"/>
                <w:szCs w:val="20"/>
              </w:rPr>
            </w:pPr>
            <w:r w:rsidRPr="00D05E17">
              <w:rPr>
                <w:b/>
                <w:bCs/>
                <w:sz w:val="20"/>
                <w:szCs w:val="20"/>
              </w:rPr>
              <w:t xml:space="preserve"> 6. Икономика с ниски емисии на въглероден двуокис</w:t>
            </w:r>
          </w:p>
        </w:tc>
      </w:tr>
      <w:tr w:rsidR="002B314D" w:rsidRPr="00D05E17" w:rsidTr="00E20DC1">
        <w:trPr>
          <w:trHeight w:val="1232"/>
        </w:trPr>
        <w:tc>
          <w:tcPr>
            <w:tcW w:w="1883" w:type="dxa"/>
          </w:tcPr>
          <w:p w:rsidR="002B314D" w:rsidRPr="00D05E17" w:rsidRDefault="002B314D" w:rsidP="003D248E">
            <w:pPr>
              <w:rPr>
                <w:b/>
                <w:bCs/>
                <w:sz w:val="20"/>
                <w:szCs w:val="20"/>
              </w:rPr>
            </w:pPr>
            <w:r w:rsidRPr="00D05E17">
              <w:rPr>
                <w:b/>
                <w:bCs/>
                <w:sz w:val="20"/>
                <w:szCs w:val="20"/>
              </w:rPr>
              <w:t xml:space="preserve">6.1. </w:t>
            </w:r>
            <w:r w:rsidRPr="00D05E17">
              <w:rPr>
                <w:sz w:val="20"/>
                <w:szCs w:val="20"/>
              </w:rPr>
              <w:t>Насърчаване на осветлението с ниска консумация на енергия</w:t>
            </w:r>
          </w:p>
        </w:tc>
        <w:tc>
          <w:tcPr>
            <w:tcW w:w="1433" w:type="dxa"/>
          </w:tcPr>
          <w:p w:rsidR="002B314D" w:rsidRPr="00D05E17" w:rsidRDefault="002B314D" w:rsidP="003D248E">
            <w:pPr>
              <w:rPr>
                <w:sz w:val="20"/>
                <w:szCs w:val="20"/>
              </w:rPr>
            </w:pPr>
            <w:r w:rsidRPr="00D05E17">
              <w:rPr>
                <w:sz w:val="20"/>
                <w:szCs w:val="20"/>
              </w:rPr>
              <w:t>До 2020 г. общо намаление поне с 20 % на консумацията на енергия за осветление.</w:t>
            </w:r>
          </w:p>
        </w:tc>
        <w:tc>
          <w:tcPr>
            <w:tcW w:w="1742" w:type="dxa"/>
          </w:tcPr>
          <w:p w:rsidR="002B314D" w:rsidRPr="00D05E17" w:rsidRDefault="002B314D" w:rsidP="003D248E">
            <w:pPr>
              <w:rPr>
                <w:sz w:val="20"/>
                <w:szCs w:val="20"/>
              </w:rPr>
            </w:pPr>
            <w:r w:rsidRPr="00D05E17">
              <w:rPr>
                <w:sz w:val="20"/>
                <w:szCs w:val="20"/>
              </w:rPr>
              <w:t>Консумация 2009 1.7%</w:t>
            </w:r>
          </w:p>
        </w:tc>
        <w:tc>
          <w:tcPr>
            <w:tcW w:w="1189" w:type="dxa"/>
          </w:tcPr>
          <w:p w:rsidR="002B314D" w:rsidRPr="00D05E17" w:rsidRDefault="002B314D" w:rsidP="003D248E">
            <w:pPr>
              <w:rPr>
                <w:sz w:val="20"/>
                <w:szCs w:val="20"/>
              </w:rPr>
            </w:pPr>
            <w:r w:rsidRPr="00D05E17">
              <w:rPr>
                <w:sz w:val="20"/>
                <w:szCs w:val="20"/>
              </w:rPr>
              <w:t> </w:t>
            </w:r>
          </w:p>
        </w:tc>
        <w:tc>
          <w:tcPr>
            <w:tcW w:w="968" w:type="dxa"/>
          </w:tcPr>
          <w:p w:rsidR="002B314D" w:rsidRPr="00D05E17" w:rsidRDefault="002B314D" w:rsidP="00CF2652">
            <w:pPr>
              <w:rPr>
                <w:sz w:val="20"/>
                <w:szCs w:val="20"/>
              </w:rPr>
            </w:pPr>
            <w:r w:rsidRPr="00D05E17">
              <w:rPr>
                <w:sz w:val="20"/>
                <w:szCs w:val="20"/>
              </w:rPr>
              <w:t xml:space="preserve"> </w:t>
            </w:r>
            <w:r w:rsidRPr="00AC7438">
              <w:rPr>
                <w:sz w:val="20"/>
                <w:szCs w:val="20"/>
                <w:lang w:val="ru-RU"/>
              </w:rPr>
              <w:t>*</w:t>
            </w:r>
          </w:p>
          <w:p w:rsidR="002B314D" w:rsidRPr="00D05E17" w:rsidRDefault="002B314D" w:rsidP="00CF2652">
            <w:pPr>
              <w:rPr>
                <w:sz w:val="20"/>
                <w:szCs w:val="20"/>
              </w:rPr>
            </w:pPr>
            <w:r w:rsidRPr="00D05E17">
              <w:rPr>
                <w:sz w:val="20"/>
                <w:szCs w:val="20"/>
              </w:rPr>
              <w:t xml:space="preserve">От 1 септември </w:t>
            </w:r>
            <w:smartTag w:uri="urn:schemas-microsoft-com:office:smarttags" w:element="metricconverter">
              <w:smartTagPr>
                <w:attr w:name="ProductID" w:val="2011 г"/>
              </w:smartTagPr>
              <w:r w:rsidRPr="00D05E17">
                <w:rPr>
                  <w:sz w:val="20"/>
                  <w:szCs w:val="20"/>
                </w:rPr>
                <w:t>2011 г</w:t>
              </w:r>
            </w:smartTag>
            <w:r w:rsidRPr="00D05E17">
              <w:rPr>
                <w:sz w:val="20"/>
                <w:szCs w:val="20"/>
              </w:rPr>
              <w:t>. бяха изведени от пазарната мрежа лампите с нажежаема жичка с мощност 60 W.</w:t>
            </w:r>
          </w:p>
          <w:p w:rsidR="002B314D" w:rsidRPr="00D05E17" w:rsidRDefault="002B314D" w:rsidP="00CF2652">
            <w:pPr>
              <w:rPr>
                <w:sz w:val="20"/>
                <w:szCs w:val="20"/>
              </w:rPr>
            </w:pPr>
            <w:r w:rsidRPr="00D05E17">
              <w:rPr>
                <w:sz w:val="20"/>
                <w:szCs w:val="20"/>
              </w:rPr>
              <w:t>Ефектът се оценява на 50 % от енергията използвана за осветление сега или 2,5 % от цялата енергия използвана от домакинствата.</w:t>
            </w:r>
          </w:p>
        </w:tc>
        <w:tc>
          <w:tcPr>
            <w:tcW w:w="1080" w:type="dxa"/>
          </w:tcPr>
          <w:p w:rsidR="002B314D" w:rsidRPr="00D05E17" w:rsidRDefault="002B314D" w:rsidP="003D248E">
            <w:pPr>
              <w:rPr>
                <w:sz w:val="20"/>
                <w:szCs w:val="20"/>
              </w:rPr>
            </w:pPr>
            <w:r w:rsidRPr="00D05E17">
              <w:rPr>
                <w:sz w:val="20"/>
                <w:szCs w:val="20"/>
              </w:rPr>
              <w:t>12.8%</w:t>
            </w:r>
          </w:p>
        </w:tc>
        <w:tc>
          <w:tcPr>
            <w:tcW w:w="1260" w:type="dxa"/>
          </w:tcPr>
          <w:p w:rsidR="002B314D" w:rsidRPr="00AC7438" w:rsidRDefault="002B314D" w:rsidP="00CF2652">
            <w:pPr>
              <w:rPr>
                <w:sz w:val="20"/>
                <w:szCs w:val="20"/>
                <w:lang w:val="ru-RU"/>
              </w:rPr>
            </w:pPr>
            <w:r w:rsidRPr="00AC7438">
              <w:rPr>
                <w:sz w:val="20"/>
                <w:szCs w:val="20"/>
                <w:lang w:val="ru-RU"/>
              </w:rPr>
              <w:t>*</w:t>
            </w:r>
          </w:p>
          <w:p w:rsidR="002B314D" w:rsidRPr="00D05E17" w:rsidRDefault="002B314D" w:rsidP="00CF2652">
            <w:pPr>
              <w:rPr>
                <w:sz w:val="20"/>
                <w:szCs w:val="20"/>
                <w:lang w:val="ru-RU"/>
              </w:rPr>
            </w:pPr>
            <w:r w:rsidRPr="00D05E17">
              <w:rPr>
                <w:sz w:val="20"/>
                <w:szCs w:val="20"/>
              </w:rPr>
              <w:t> През 2012 г. бяха изведени от пазара лампите с мощност 25W и 40W, а от 1 септември 2012 г. влезе в сила пълната забрана за производство на лампи с нажежаема жичка в рамките на Европейския съюз.</w:t>
            </w:r>
          </w:p>
          <w:p w:rsidR="002B314D" w:rsidRPr="00D05E17" w:rsidRDefault="002B314D" w:rsidP="00CF2652">
            <w:pPr>
              <w:rPr>
                <w:sz w:val="20"/>
                <w:szCs w:val="20"/>
              </w:rPr>
            </w:pPr>
            <w:r w:rsidRPr="00D05E17">
              <w:rPr>
                <w:sz w:val="20"/>
                <w:szCs w:val="20"/>
              </w:rPr>
              <w:t>Ефектът се оценява на 50 % от енергията използвана за осветление сега или 2,5 % от цялата енергия използвана от домакинствата.</w:t>
            </w:r>
          </w:p>
        </w:tc>
        <w:tc>
          <w:tcPr>
            <w:tcW w:w="1080" w:type="dxa"/>
          </w:tcPr>
          <w:p w:rsidR="002B314D" w:rsidRPr="00D05E17" w:rsidRDefault="002B314D" w:rsidP="003D248E">
            <w:pPr>
              <w:rPr>
                <w:sz w:val="20"/>
                <w:szCs w:val="20"/>
              </w:rPr>
            </w:pPr>
            <w:r w:rsidRPr="00D05E17">
              <w:rPr>
                <w:sz w:val="20"/>
                <w:szCs w:val="20"/>
              </w:rPr>
              <w:t>14.4%</w:t>
            </w:r>
          </w:p>
        </w:tc>
        <w:tc>
          <w:tcPr>
            <w:tcW w:w="1148" w:type="dxa"/>
            <w:gridSpan w:val="3"/>
          </w:tcPr>
          <w:p w:rsidR="002B314D" w:rsidRPr="00D05E17" w:rsidRDefault="002B314D" w:rsidP="00CF2652">
            <w:pPr>
              <w:rPr>
                <w:sz w:val="20"/>
                <w:szCs w:val="20"/>
              </w:rPr>
            </w:pPr>
            <w:r>
              <w:rPr>
                <w:sz w:val="20"/>
                <w:szCs w:val="20"/>
              </w:rPr>
              <w:t>19% за ЕС</w:t>
            </w:r>
            <w:r w:rsidRPr="00D05E17">
              <w:rPr>
                <w:sz w:val="20"/>
                <w:szCs w:val="20"/>
              </w:rPr>
              <w:t xml:space="preserve">  </w:t>
            </w:r>
            <w:r w:rsidRPr="00D05E17">
              <w:rPr>
                <w:sz w:val="20"/>
                <w:szCs w:val="20"/>
                <w:lang w:val="en-US"/>
              </w:rPr>
              <w:t>*</w:t>
            </w:r>
          </w:p>
          <w:p w:rsidR="002B314D" w:rsidRPr="00D05E17" w:rsidRDefault="002B314D" w:rsidP="00CF2652">
            <w:pPr>
              <w:rPr>
                <w:sz w:val="20"/>
                <w:szCs w:val="20"/>
                <w:lang w:val="ru-RU"/>
              </w:rPr>
            </w:pPr>
            <w:r w:rsidRPr="00D05E17">
              <w:rPr>
                <w:sz w:val="20"/>
                <w:szCs w:val="20"/>
              </w:rPr>
              <w:t>Съгласно получените в АУЕР отчети за изпълнението на плановете по чл. 11 от ЗЕЕ, през 2013 г. са изпълнени 15 проекта, отнасящи се до подмяна или модернизация на уличното осветление на териториите на общините в страната. Най-често прилаганите мерки са свързани с ремонт и реконструкция на кабелната мрежа, подмяна на осветителни тела с енергоспестяващи, инсталиране на LED лампи, захранвани със слънчева енергия и монтаж на системи за автоматизирано управление.</w:t>
            </w:r>
          </w:p>
          <w:p w:rsidR="002B314D" w:rsidRPr="00D05E17" w:rsidRDefault="002B314D" w:rsidP="00CF2652">
            <w:pPr>
              <w:rPr>
                <w:sz w:val="20"/>
                <w:szCs w:val="20"/>
              </w:rPr>
            </w:pPr>
            <w:r w:rsidRPr="00D05E17">
              <w:rPr>
                <w:sz w:val="20"/>
                <w:szCs w:val="20"/>
              </w:rPr>
              <w:t>Очакваните спестявания на електрическа енергия се равняват на близо 1 GWh/год.</w:t>
            </w:r>
          </w:p>
        </w:tc>
        <w:tc>
          <w:tcPr>
            <w:tcW w:w="126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 </w:t>
            </w:r>
          </w:p>
        </w:tc>
        <w:tc>
          <w:tcPr>
            <w:tcW w:w="1080" w:type="dxa"/>
          </w:tcPr>
          <w:p w:rsidR="002B314D" w:rsidRPr="00D05E17" w:rsidRDefault="002B314D" w:rsidP="003D248E">
            <w:pPr>
              <w:rPr>
                <w:sz w:val="20"/>
                <w:szCs w:val="20"/>
              </w:rPr>
            </w:pPr>
            <w:r w:rsidRPr="00D05E17">
              <w:rPr>
                <w:sz w:val="20"/>
                <w:szCs w:val="20"/>
              </w:rPr>
              <w:t>цел общо намаление поне с 20 % на консумацията на енергия за осветление</w:t>
            </w:r>
          </w:p>
        </w:tc>
      </w:tr>
    </w:tbl>
    <w:p w:rsidR="002B314D" w:rsidRPr="00D05E17" w:rsidRDefault="002B314D">
      <w:pPr>
        <w:rPr>
          <w:sz w:val="20"/>
          <w:szCs w:val="20"/>
        </w:rPr>
      </w:pPr>
    </w:p>
    <w:p w:rsidR="002B314D" w:rsidRPr="00D05E17" w:rsidRDefault="002B314D">
      <w:pPr>
        <w:rPr>
          <w:sz w:val="20"/>
          <w:szCs w:val="20"/>
        </w:rPr>
      </w:pPr>
    </w:p>
    <w:p w:rsidR="002B314D" w:rsidRPr="00D05E17" w:rsidRDefault="002B314D">
      <w:pPr>
        <w:rPr>
          <w:sz w:val="20"/>
          <w:szCs w:val="20"/>
        </w:rPr>
      </w:pPr>
      <w:r w:rsidRPr="00D05E17">
        <w:rPr>
          <w:sz w:val="20"/>
          <w:szCs w:val="20"/>
          <w:lang w:val="ru-RU"/>
        </w:rPr>
        <w:t xml:space="preserve">* </w:t>
      </w:r>
      <w:r w:rsidRPr="00D05E17">
        <w:rPr>
          <w:sz w:val="20"/>
          <w:szCs w:val="20"/>
        </w:rPr>
        <w:t>От Отчета на Втория национален план за действие по енергийна ефективност 2011-2013 г.</w:t>
      </w:r>
      <w:r w:rsidRPr="00D05E17">
        <w:rPr>
          <w:sz w:val="20"/>
          <w:szCs w:val="20"/>
          <w:lang w:val="ru-RU"/>
        </w:rPr>
        <w:t>*</w:t>
      </w:r>
      <w:r w:rsidRPr="00D05E17">
        <w:rPr>
          <w:sz w:val="20"/>
          <w:szCs w:val="20"/>
        </w:rPr>
        <w:t>/ЕСПУЕР, МИЕ</w:t>
      </w:r>
    </w:p>
    <w:p w:rsidR="002B314D" w:rsidRPr="00D05E17" w:rsidRDefault="002B314D">
      <w:pPr>
        <w:rPr>
          <w:sz w:val="20"/>
          <w:szCs w:val="20"/>
        </w:rPr>
      </w:pPr>
    </w:p>
    <w:p w:rsidR="002B314D" w:rsidRDefault="002B314D" w:rsidP="00E02228">
      <w:pPr>
        <w:rPr>
          <w:sz w:val="20"/>
          <w:szCs w:val="20"/>
        </w:rPr>
      </w:pPr>
      <w:r w:rsidRPr="00C73023">
        <w:rPr>
          <w:sz w:val="20"/>
          <w:szCs w:val="20"/>
        </w:rPr>
        <w:t xml:space="preserve">** </w:t>
      </w:r>
      <w:r w:rsidRPr="00D05E17">
        <w:rPr>
          <w:sz w:val="20"/>
          <w:szCs w:val="20"/>
        </w:rPr>
        <w:t>Government budget appropriations or outlays for re</w:t>
      </w:r>
      <w:r>
        <w:rPr>
          <w:sz w:val="20"/>
          <w:szCs w:val="20"/>
        </w:rPr>
        <w:t>search and development – GBAORD</w:t>
      </w:r>
    </w:p>
    <w:p w:rsidR="002B314D" w:rsidRPr="00D05E17" w:rsidRDefault="002B314D" w:rsidP="00E02228">
      <w:pPr>
        <w:rPr>
          <w:sz w:val="20"/>
          <w:szCs w:val="20"/>
        </w:rPr>
      </w:pPr>
      <w:r w:rsidRPr="00D05E17">
        <w:rPr>
          <w:sz w:val="20"/>
          <w:szCs w:val="20"/>
        </w:rPr>
        <w:t xml:space="preserve"> </w:t>
      </w:r>
      <w:r w:rsidRPr="00091433">
        <w:rPr>
          <w:sz w:val="20"/>
          <w:szCs w:val="20"/>
        </w:rPr>
        <w:t>Държавните бюджетни кредити</w:t>
      </w:r>
      <w:r>
        <w:rPr>
          <w:sz w:val="20"/>
          <w:szCs w:val="20"/>
        </w:rPr>
        <w:t xml:space="preserve">/ </w:t>
      </w:r>
      <w:r w:rsidRPr="00091433">
        <w:rPr>
          <w:sz w:val="20"/>
          <w:szCs w:val="20"/>
        </w:rPr>
        <w:t xml:space="preserve"> разходи за научноизследователска и развойна дейност</w:t>
      </w:r>
    </w:p>
    <w:p w:rsidR="002B314D" w:rsidRDefault="002B314D" w:rsidP="00C73023">
      <w:pPr>
        <w:rPr>
          <w:sz w:val="20"/>
          <w:szCs w:val="20"/>
        </w:rPr>
      </w:pPr>
      <w:r w:rsidRPr="00D05E17">
        <w:rPr>
          <w:sz w:val="20"/>
          <w:szCs w:val="20"/>
        </w:rPr>
        <w:t>Business enterprise expenditure on R&amp;D – BERD</w:t>
      </w:r>
      <w:r w:rsidRPr="00C73023">
        <w:rPr>
          <w:sz w:val="20"/>
          <w:szCs w:val="20"/>
        </w:rPr>
        <w:t xml:space="preserve"> </w:t>
      </w:r>
    </w:p>
    <w:p w:rsidR="002B314D" w:rsidRPr="00D05E17" w:rsidRDefault="002B314D" w:rsidP="00C73023">
      <w:pPr>
        <w:rPr>
          <w:sz w:val="20"/>
          <w:szCs w:val="20"/>
        </w:rPr>
      </w:pPr>
      <w:r>
        <w:rPr>
          <w:sz w:val="20"/>
          <w:szCs w:val="20"/>
        </w:rPr>
        <w:t xml:space="preserve">Разходи на  бизнеса/предприятията  за </w:t>
      </w:r>
      <w:r w:rsidRPr="00091433">
        <w:rPr>
          <w:sz w:val="20"/>
          <w:szCs w:val="20"/>
        </w:rPr>
        <w:t>научноизследователска и развойна дейност</w:t>
      </w:r>
    </w:p>
    <w:p w:rsidR="002B314D" w:rsidRPr="00D05E17" w:rsidRDefault="002B314D" w:rsidP="00E02228">
      <w:pPr>
        <w:rPr>
          <w:sz w:val="20"/>
          <w:szCs w:val="20"/>
        </w:rPr>
      </w:pPr>
    </w:p>
    <w:p w:rsidR="002B314D" w:rsidRPr="00D05E17" w:rsidRDefault="002B314D" w:rsidP="00E52272">
      <w:pPr>
        <w:rPr>
          <w:sz w:val="20"/>
          <w:szCs w:val="20"/>
        </w:rPr>
      </w:pPr>
      <w:r w:rsidRPr="00D05E17">
        <w:rPr>
          <w:sz w:val="20"/>
          <w:szCs w:val="20"/>
          <w:lang w:val="ru-RU"/>
        </w:rPr>
        <w:t>***</w:t>
      </w:r>
      <w:r w:rsidRPr="00D05E17">
        <w:rPr>
          <w:sz w:val="20"/>
          <w:szCs w:val="20"/>
        </w:rPr>
        <w:t>източник КРС : Максималната цена на дребно за изходящи повиквания се е понижила на 0,24 EUR от 1 юли 2013 г. (без ДДС)</w:t>
      </w:r>
    </w:p>
    <w:p w:rsidR="002B314D" w:rsidRPr="00D05E17" w:rsidRDefault="002B314D" w:rsidP="00E52272">
      <w:pPr>
        <w:rPr>
          <w:sz w:val="20"/>
          <w:szCs w:val="20"/>
        </w:rPr>
      </w:pPr>
      <w:r w:rsidRPr="00D05E17">
        <w:rPr>
          <w:sz w:val="20"/>
          <w:szCs w:val="20"/>
        </w:rPr>
        <w:t xml:space="preserve">Максималната цена на дребно за входящи повиквания се е понижила на 0,07 EUR на 1 юли 2013 г. (без ДДС). </w:t>
      </w:r>
    </w:p>
    <w:p w:rsidR="002B314D" w:rsidRPr="00D05E17" w:rsidRDefault="002B314D" w:rsidP="00E52272">
      <w:pPr>
        <w:rPr>
          <w:sz w:val="20"/>
          <w:szCs w:val="20"/>
        </w:rPr>
      </w:pPr>
      <w:r w:rsidRPr="00D05E17">
        <w:rPr>
          <w:sz w:val="20"/>
          <w:szCs w:val="20"/>
        </w:rPr>
        <w:t>Предвидено е максималната цена на дребно за изходящи повиквания да се понижи на 0,19 EUR (без ДДС) от 1 юли 2014 г. От същата дата максималната цена на дребно за входящи повиквания следва да се понижи до 0,05 EUR (без ДДС).</w:t>
      </w:r>
    </w:p>
    <w:p w:rsidR="002B314D" w:rsidRPr="00D05E17" w:rsidRDefault="002B314D" w:rsidP="00E52272">
      <w:pPr>
        <w:rPr>
          <w:sz w:val="20"/>
          <w:szCs w:val="20"/>
        </w:rPr>
      </w:pPr>
      <w:r w:rsidRPr="00D05E17">
        <w:rPr>
          <w:sz w:val="20"/>
          <w:szCs w:val="20"/>
        </w:rPr>
        <w:t>Трите мобилни предприятия в България спазват стриктно ценовите тавани от Регламента за роуминга (№ 531/2012).</w:t>
      </w:r>
    </w:p>
    <w:p w:rsidR="002B314D" w:rsidRPr="00D05E17" w:rsidRDefault="002B314D" w:rsidP="00E52272">
      <w:pPr>
        <w:rPr>
          <w:sz w:val="20"/>
          <w:szCs w:val="20"/>
        </w:rPr>
      </w:pPr>
      <w:r w:rsidRPr="00D05E17">
        <w:rPr>
          <w:sz w:val="20"/>
          <w:szCs w:val="20"/>
        </w:rPr>
        <w:t xml:space="preserve"> </w:t>
      </w:r>
    </w:p>
    <w:p w:rsidR="002B314D" w:rsidRDefault="002B314D" w:rsidP="00E02228">
      <w:pPr>
        <w:rPr>
          <w:b/>
          <w:iCs/>
          <w:sz w:val="20"/>
          <w:szCs w:val="20"/>
        </w:rPr>
      </w:pPr>
      <w:r w:rsidRPr="00D05E17">
        <w:rPr>
          <w:sz w:val="20"/>
          <w:szCs w:val="20"/>
          <w:lang w:val="ru-RU"/>
        </w:rPr>
        <w:t>****</w:t>
      </w:r>
      <w:r>
        <w:rPr>
          <w:sz w:val="20"/>
          <w:szCs w:val="20"/>
          <w:lang w:val="ru-RU"/>
        </w:rPr>
        <w:t xml:space="preserve"> </w:t>
      </w:r>
      <w:r w:rsidRPr="00D23438">
        <w:rPr>
          <w:b/>
          <w:iCs/>
          <w:sz w:val="20"/>
          <w:szCs w:val="20"/>
        </w:rPr>
        <w:t>ЦПЕ</w:t>
      </w:r>
      <w:r>
        <w:rPr>
          <w:b/>
          <w:iCs/>
          <w:sz w:val="20"/>
          <w:szCs w:val="20"/>
        </w:rPr>
        <w:t>/ Scoreboard</w:t>
      </w:r>
    </w:p>
    <w:p w:rsidR="002B314D" w:rsidRPr="00D05E17" w:rsidRDefault="002B314D" w:rsidP="00E02228">
      <w:pPr>
        <w:rPr>
          <w:sz w:val="20"/>
          <w:szCs w:val="20"/>
        </w:rPr>
      </w:pPr>
    </w:p>
    <w:tbl>
      <w:tblPr>
        <w:tblW w:w="9321" w:type="dxa"/>
        <w:tblInd w:w="40" w:type="dxa"/>
        <w:tblLayout w:type="fixed"/>
        <w:tblCellMar>
          <w:left w:w="40" w:type="dxa"/>
          <w:right w:w="40" w:type="dxa"/>
        </w:tblCellMar>
        <w:tblLook w:val="0000"/>
      </w:tblPr>
      <w:tblGrid>
        <w:gridCol w:w="3408"/>
        <w:gridCol w:w="739"/>
        <w:gridCol w:w="739"/>
        <w:gridCol w:w="739"/>
        <w:gridCol w:w="730"/>
        <w:gridCol w:w="816"/>
        <w:gridCol w:w="816"/>
        <w:gridCol w:w="662"/>
        <w:gridCol w:w="672"/>
      </w:tblGrid>
      <w:tr w:rsidR="002B314D" w:rsidRPr="000036DD" w:rsidTr="00F26770">
        <w:trPr>
          <w:trHeight w:hRule="exact" w:val="336"/>
        </w:trPr>
        <w:tc>
          <w:tcPr>
            <w:tcW w:w="3408" w:type="dxa"/>
            <w:vMerge w:val="restart"/>
            <w:tcBorders>
              <w:top w:val="single" w:sz="6" w:space="0" w:color="auto"/>
              <w:left w:val="single" w:sz="6" w:space="0" w:color="auto"/>
              <w:bottom w:val="nil"/>
              <w:right w:val="single" w:sz="6" w:space="0" w:color="auto"/>
            </w:tcBorders>
            <w:shd w:val="clear" w:color="auto" w:fill="FFFFFF"/>
          </w:tcPr>
          <w:p w:rsidR="002B314D" w:rsidRPr="000036DD" w:rsidRDefault="002B314D" w:rsidP="00F26770">
            <w:pPr>
              <w:shd w:val="clear" w:color="auto" w:fill="FFFFFF"/>
              <w:ind w:left="245"/>
            </w:pPr>
            <w:r>
              <w:t>индикатор</w:t>
            </w:r>
          </w:p>
        </w:tc>
        <w:tc>
          <w:tcPr>
            <w:tcW w:w="2947" w:type="dxa"/>
            <w:gridSpan w:val="4"/>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898"/>
            </w:pPr>
            <w:r>
              <w:rPr>
                <w:color w:val="000000"/>
                <w:spacing w:val="1"/>
              </w:rPr>
              <w:t>България</w:t>
            </w:r>
            <w:r w:rsidRPr="000036DD">
              <w:rPr>
                <w:color w:val="000000"/>
                <w:spacing w:val="1"/>
                <w:lang w:val="en-US"/>
              </w:rPr>
              <w:t xml:space="preserve"> </w:t>
            </w:r>
          </w:p>
        </w:tc>
        <w:tc>
          <w:tcPr>
            <w:tcW w:w="2966" w:type="dxa"/>
            <w:gridSpan w:val="4"/>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883"/>
            </w:pPr>
            <w:r>
              <w:rPr>
                <w:color w:val="000000"/>
                <w:spacing w:val="1"/>
                <w:lang w:val="en-US"/>
              </w:rPr>
              <w:t>E</w:t>
            </w:r>
            <w:r>
              <w:rPr>
                <w:color w:val="000000"/>
                <w:spacing w:val="1"/>
              </w:rPr>
              <w:t xml:space="preserve">С </w:t>
            </w:r>
            <w:r w:rsidRPr="000036DD">
              <w:rPr>
                <w:color w:val="000000"/>
                <w:spacing w:val="1"/>
                <w:lang w:val="en-US"/>
              </w:rPr>
              <w:t xml:space="preserve">27/28 </w:t>
            </w:r>
          </w:p>
        </w:tc>
      </w:tr>
      <w:tr w:rsidR="002B314D" w:rsidRPr="000036DD" w:rsidTr="00F26770">
        <w:trPr>
          <w:trHeight w:hRule="exact" w:val="326"/>
        </w:trPr>
        <w:tc>
          <w:tcPr>
            <w:tcW w:w="3408" w:type="dxa"/>
            <w:vMerge/>
            <w:tcBorders>
              <w:top w:val="nil"/>
              <w:left w:val="single" w:sz="6" w:space="0" w:color="auto"/>
              <w:bottom w:val="single" w:sz="6" w:space="0" w:color="auto"/>
              <w:right w:val="single" w:sz="6" w:space="0" w:color="auto"/>
            </w:tcBorders>
            <w:shd w:val="clear" w:color="auto" w:fill="FFFFFF"/>
          </w:tcPr>
          <w:p w:rsidR="002B314D" w:rsidRPr="000036DD" w:rsidRDefault="002B314D" w:rsidP="00F26770"/>
          <w:p w:rsidR="002B314D" w:rsidRPr="000036DD" w:rsidRDefault="002B314D" w:rsidP="00F26770"/>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96"/>
            </w:pPr>
            <w:r w:rsidRPr="000036DD">
              <w:rPr>
                <w:color w:val="000000"/>
                <w:spacing w:val="-2"/>
                <w:lang w:val="en-US"/>
              </w:rPr>
              <w:t>2009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91"/>
            </w:pPr>
            <w:r w:rsidRPr="000036DD">
              <w:rPr>
                <w:color w:val="000000"/>
                <w:lang w:val="en-US"/>
              </w:rPr>
              <w:t>2010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91"/>
            </w:pPr>
            <w:r w:rsidRPr="000036DD">
              <w:rPr>
                <w:color w:val="000000"/>
                <w:spacing w:val="-2"/>
                <w:lang w:val="en-US"/>
              </w:rPr>
              <w:t>2011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86"/>
            </w:pPr>
            <w:r w:rsidRPr="000036DD">
              <w:rPr>
                <w:color w:val="000000"/>
                <w:spacing w:val="-1"/>
                <w:lang w:val="en-US"/>
              </w:rPr>
              <w:t>2012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134"/>
            </w:pPr>
            <w:r w:rsidRPr="000036DD">
              <w:rPr>
                <w:color w:val="000000"/>
                <w:spacing w:val="-1"/>
                <w:lang w:val="en-US"/>
              </w:rPr>
              <w:t>2009</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134"/>
            </w:pPr>
            <w:r w:rsidRPr="000036DD">
              <w:rPr>
                <w:color w:val="000000"/>
                <w:spacing w:val="-1"/>
                <w:lang w:val="en-US"/>
              </w:rPr>
              <w:t>2010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58"/>
            </w:pPr>
            <w:r w:rsidRPr="000036DD">
              <w:rPr>
                <w:color w:val="000000"/>
                <w:spacing w:val="-2"/>
                <w:lang w:val="en-US"/>
              </w:rPr>
              <w:t>2011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53"/>
            </w:pPr>
            <w:r w:rsidRPr="000036DD">
              <w:rPr>
                <w:color w:val="000000"/>
                <w:spacing w:val="-2"/>
                <w:lang w:val="en-US"/>
              </w:rPr>
              <w:t>2012</w:t>
            </w:r>
          </w:p>
        </w:tc>
      </w:tr>
      <w:tr w:rsidR="002B314D" w:rsidRPr="000036DD" w:rsidTr="00F26770">
        <w:trPr>
          <w:trHeight w:hRule="exact" w:val="307"/>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14"/>
            </w:pPr>
            <w:r w:rsidRPr="000036DD">
              <w:rPr>
                <w:color w:val="000000"/>
                <w:spacing w:val="5"/>
                <w:lang w:val="en-US"/>
              </w:rPr>
              <w:t>ICT BERD-Million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8</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jc w:val="right"/>
            </w:pPr>
            <w:r w:rsidRPr="000036DD">
              <w:rPr>
                <w:color w:val="000000"/>
                <w:lang w:val="en-US"/>
              </w:rPr>
              <w:t>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461"/>
            </w:pPr>
            <w:r w:rsidRPr="000036DD">
              <w:rPr>
                <w:color w:val="000000"/>
                <w:lang w:val="en-US"/>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spacing w:val="-2"/>
                <w:lang w:val="en-US"/>
              </w:rPr>
              <w:t>25368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spacing w:val="-2"/>
                <w:lang w:val="en-US"/>
              </w:rPr>
              <w:t>25993</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9"/>
              <w:jc w:val="right"/>
            </w:pPr>
            <w:r w:rsidRPr="000036DD">
              <w:rPr>
                <w:color w:val="000000"/>
                <w:lang w:val="en-US"/>
              </w:rPr>
              <w:t>-</w:t>
            </w:r>
          </w:p>
        </w:tc>
      </w:tr>
      <w:tr w:rsidR="002B314D" w:rsidRPr="000036DD" w:rsidTr="00F26770">
        <w:trPr>
          <w:trHeight w:hRule="exact" w:val="326"/>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14"/>
            </w:pPr>
            <w:r w:rsidRPr="000036DD">
              <w:rPr>
                <w:color w:val="000000"/>
                <w:spacing w:val="-4"/>
                <w:lang w:val="en-US"/>
              </w:rPr>
              <w:t xml:space="preserve">ICT BERD - </w:t>
            </w:r>
            <w:r w:rsidRPr="000036DD">
              <w:rPr>
                <w:i/>
                <w:iCs/>
                <w:color w:val="000000"/>
                <w:spacing w:val="-4"/>
                <w:lang w:val="en-US"/>
              </w:rPr>
              <w:t xml:space="preserve">% </w:t>
            </w:r>
            <w:r w:rsidRPr="000036DD">
              <w:rPr>
                <w:color w:val="000000"/>
                <w:spacing w:val="-4"/>
                <w:lang w:val="en-US"/>
              </w:rPr>
              <w:t>of Total BERD</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jc w:val="right"/>
            </w:pPr>
            <w:r w:rsidRPr="000036DD">
              <w:rPr>
                <w:color w:val="000000"/>
                <w:lang w:val="en-US"/>
              </w:rPr>
              <w:t>14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jc w:val="right"/>
            </w:pPr>
            <w:r w:rsidRPr="000036DD">
              <w:rPr>
                <w:color w:val="000000"/>
                <w:lang w:val="en-US"/>
              </w:rPr>
              <w:t>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461"/>
            </w:pPr>
            <w:r w:rsidRPr="000036DD">
              <w:rPr>
                <w:color w:val="000000"/>
                <w:lang w:val="en-US"/>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jc w:val="right"/>
            </w:pPr>
            <w:r w:rsidRPr="000036DD">
              <w:rPr>
                <w:color w:val="000000"/>
                <w:lang w:val="en-US"/>
              </w:rPr>
              <w:t>17</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jc w:val="right"/>
            </w:pPr>
            <w:r w:rsidRPr="000036DD">
              <w:rPr>
                <w:color w:val="000000"/>
                <w:lang w:val="en-US"/>
              </w:rPr>
              <w:t>17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9"/>
              <w:jc w:val="right"/>
            </w:pPr>
            <w:r w:rsidRPr="000036DD">
              <w:rPr>
                <w:color w:val="000000"/>
                <w:lang w:val="en-US"/>
              </w:rPr>
              <w:t>-</w:t>
            </w:r>
          </w:p>
        </w:tc>
      </w:tr>
      <w:tr w:rsidR="002B314D" w:rsidRPr="000036DD" w:rsidTr="00F26770">
        <w:trPr>
          <w:trHeight w:hRule="exact" w:val="326"/>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5"/>
            </w:pPr>
            <w:r w:rsidRPr="000036DD">
              <w:rPr>
                <w:color w:val="000000"/>
                <w:spacing w:val="-1"/>
                <w:lang w:val="en-US"/>
              </w:rPr>
              <w:t xml:space="preserve">Total BERD </w:t>
            </w:r>
            <w:r w:rsidRPr="000036DD">
              <w:rPr>
                <w:i/>
                <w:iCs/>
                <w:color w:val="000000"/>
                <w:spacing w:val="-1"/>
                <w:lang w:val="en-US"/>
              </w:rPr>
              <w:t xml:space="preserve">-% </w:t>
            </w:r>
            <w:r w:rsidRPr="000036DD">
              <w:rPr>
                <w:color w:val="000000"/>
                <w:spacing w:val="-1"/>
                <w:lang w:val="en-US"/>
              </w:rPr>
              <w:t>GDP</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0.2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0"/>
              <w:jc w:val="right"/>
            </w:pPr>
            <w:r w:rsidRPr="000036DD">
              <w:rPr>
                <w:color w:val="000000"/>
                <w:lang w:val="en-US"/>
              </w:rPr>
              <w:t>0.3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0"/>
              <w:jc w:val="right"/>
            </w:pPr>
            <w:r w:rsidRPr="000036DD">
              <w:rPr>
                <w:color w:val="000000"/>
                <w:lang w:val="en-US"/>
              </w:rPr>
              <w:t>-</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461"/>
            </w:pPr>
            <w:r w:rsidRPr="000036DD">
              <w:rPr>
                <w:color w:val="000000"/>
                <w:lang w:val="en-US"/>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1.2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1.2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9"/>
              <w:jc w:val="right"/>
            </w:pPr>
            <w:r w:rsidRPr="000036DD">
              <w:rPr>
                <w:color w:val="000000"/>
                <w:lang w:val="en-US"/>
              </w:rPr>
              <w:t>-</w:t>
            </w:r>
          </w:p>
        </w:tc>
      </w:tr>
      <w:tr w:rsidR="002B314D" w:rsidRPr="000036DD" w:rsidTr="00F26770">
        <w:trPr>
          <w:trHeight w:hRule="exact" w:val="317"/>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14"/>
            </w:pPr>
            <w:r w:rsidRPr="000036DD">
              <w:rPr>
                <w:color w:val="000000"/>
                <w:spacing w:val="5"/>
                <w:lang w:val="en-US"/>
              </w:rPr>
              <w:t>ICT GBAORD-Million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jc w:val="right"/>
            </w:pPr>
            <w:r w:rsidRPr="000036DD">
              <w:rPr>
                <w:color w:val="000000"/>
                <w:lang w:val="en-US"/>
              </w:rPr>
              <w:t>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0"/>
              <w:jc w:val="right"/>
            </w:pPr>
            <w:r w:rsidRPr="000036DD">
              <w:rPr>
                <w:color w:val="000000"/>
                <w:lang w:val="en-US"/>
              </w:rPr>
              <w:t>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437"/>
            </w:pPr>
            <w:r w:rsidRPr="000036DD">
              <w:rPr>
                <w:color w:val="000000"/>
                <w:lang w:val="en-US"/>
              </w:rPr>
              <w:t>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spacing w:val="-3"/>
                <w:lang w:val="en-US"/>
              </w:rPr>
              <w:t>5958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jc w:val="right"/>
            </w:pPr>
            <w:r w:rsidRPr="000036DD">
              <w:rPr>
                <w:color w:val="000000"/>
                <w:spacing w:val="-2"/>
                <w:lang w:val="en-US"/>
              </w:rPr>
              <w:t>6044</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spacing w:val="-2"/>
                <w:lang w:val="en-US"/>
              </w:rPr>
              <w:t>6118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9"/>
              <w:jc w:val="right"/>
            </w:pPr>
            <w:r w:rsidRPr="000036DD">
              <w:rPr>
                <w:color w:val="000000"/>
                <w:spacing w:val="-2"/>
                <w:lang w:val="en-US"/>
              </w:rPr>
              <w:t>5962</w:t>
            </w:r>
          </w:p>
        </w:tc>
      </w:tr>
      <w:tr w:rsidR="002B314D" w:rsidRPr="000036DD" w:rsidTr="00F26770">
        <w:trPr>
          <w:trHeight w:hRule="exact" w:val="336"/>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14"/>
            </w:pPr>
            <w:r w:rsidRPr="000036DD">
              <w:rPr>
                <w:color w:val="000000"/>
                <w:spacing w:val="-3"/>
                <w:lang w:val="en-US"/>
              </w:rPr>
              <w:t xml:space="preserve">ICT GBAORD - </w:t>
            </w:r>
            <w:r w:rsidRPr="000036DD">
              <w:rPr>
                <w:i/>
                <w:iCs/>
                <w:color w:val="000000"/>
                <w:spacing w:val="-3"/>
                <w:lang w:val="en-US"/>
              </w:rPr>
              <w:t xml:space="preserve">% </w:t>
            </w:r>
            <w:r w:rsidRPr="000036DD">
              <w:rPr>
                <w:color w:val="000000"/>
                <w:spacing w:val="-3"/>
                <w:lang w:val="en-US"/>
              </w:rPr>
              <w:t>of Total GBAORD</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3.1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0"/>
              <w:jc w:val="right"/>
            </w:pPr>
            <w:r w:rsidRPr="000036DD">
              <w:rPr>
                <w:color w:val="000000"/>
                <w:lang w:val="en-US"/>
              </w:rPr>
              <w:t>4.8</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5.4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left="312"/>
            </w:pPr>
            <w:r w:rsidRPr="000036DD">
              <w:rPr>
                <w:color w:val="000000"/>
                <w:lang w:val="en-US"/>
              </w:rPr>
              <w:t>6.3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6.5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6.5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5"/>
              <w:jc w:val="right"/>
            </w:pPr>
            <w:r w:rsidRPr="000036DD">
              <w:rPr>
                <w:color w:val="000000"/>
                <w:lang w:val="en-US"/>
              </w:rPr>
              <w:t>6.6</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B314D" w:rsidRPr="000036DD" w:rsidRDefault="002B314D" w:rsidP="00F26770">
            <w:pPr>
              <w:shd w:val="clear" w:color="auto" w:fill="FFFFFF"/>
              <w:ind w:right="19"/>
              <w:jc w:val="right"/>
            </w:pPr>
            <w:r w:rsidRPr="000036DD">
              <w:rPr>
                <w:color w:val="000000"/>
                <w:lang w:val="en-US"/>
              </w:rPr>
              <w:t>6.6</w:t>
            </w:r>
          </w:p>
        </w:tc>
      </w:tr>
    </w:tbl>
    <w:p w:rsidR="002B314D" w:rsidRDefault="002B314D" w:rsidP="00B868D3">
      <w:pPr>
        <w:rPr>
          <w:sz w:val="20"/>
          <w:szCs w:val="20"/>
        </w:rPr>
      </w:pPr>
    </w:p>
    <w:p w:rsidR="002B314D" w:rsidRPr="00D05E17" w:rsidRDefault="002B314D">
      <w:pPr>
        <w:rPr>
          <w:sz w:val="20"/>
          <w:szCs w:val="20"/>
        </w:rPr>
      </w:pPr>
    </w:p>
    <w:sectPr w:rsidR="002B314D" w:rsidRPr="00D05E17" w:rsidSect="0002686A">
      <w:footerReference w:type="even" r:id="rId6"/>
      <w:footerReference w:type="default" r:id="rId7"/>
      <w:pgSz w:w="16838" w:h="11906" w:orient="landscape"/>
      <w:pgMar w:top="1418" w:right="1418" w:bottom="1418"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4D" w:rsidRDefault="002B314D">
      <w:r>
        <w:separator/>
      </w:r>
    </w:p>
  </w:endnote>
  <w:endnote w:type="continuationSeparator" w:id="0">
    <w:p w:rsidR="002B314D" w:rsidRDefault="002B3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4D" w:rsidRDefault="002B314D" w:rsidP="003D2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14D" w:rsidRDefault="002B314D" w:rsidP="00BD65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4D" w:rsidRDefault="002B314D" w:rsidP="003D2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B314D" w:rsidRDefault="002B314D" w:rsidP="00BD6565">
    <w:pPr>
      <w:pStyle w:val="Header"/>
    </w:pPr>
  </w:p>
  <w:p w:rsidR="002B314D" w:rsidRDefault="002B314D" w:rsidP="00BD6565">
    <w:pPr>
      <w:pStyle w:val="Footer"/>
      <w:ind w:right="360"/>
    </w:pPr>
    <w:r>
      <w:t>roadmap june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4D" w:rsidRDefault="002B314D">
      <w:r>
        <w:separator/>
      </w:r>
    </w:p>
  </w:footnote>
  <w:footnote w:type="continuationSeparator" w:id="0">
    <w:p w:rsidR="002B314D" w:rsidRDefault="002B3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F69"/>
    <w:rsid w:val="000036DD"/>
    <w:rsid w:val="00024CBA"/>
    <w:rsid w:val="0002686A"/>
    <w:rsid w:val="00044518"/>
    <w:rsid w:val="000619F4"/>
    <w:rsid w:val="00063C46"/>
    <w:rsid w:val="00072ACA"/>
    <w:rsid w:val="00091433"/>
    <w:rsid w:val="000C040A"/>
    <w:rsid w:val="000D4AED"/>
    <w:rsid w:val="000F07F6"/>
    <w:rsid w:val="000F1496"/>
    <w:rsid w:val="001157CE"/>
    <w:rsid w:val="001247F1"/>
    <w:rsid w:val="001977A5"/>
    <w:rsid w:val="001F2FA4"/>
    <w:rsid w:val="00206F69"/>
    <w:rsid w:val="0022242F"/>
    <w:rsid w:val="00265825"/>
    <w:rsid w:val="002673F3"/>
    <w:rsid w:val="00295E65"/>
    <w:rsid w:val="002B314D"/>
    <w:rsid w:val="002B64DE"/>
    <w:rsid w:val="002D3864"/>
    <w:rsid w:val="002E0C6A"/>
    <w:rsid w:val="00313B0C"/>
    <w:rsid w:val="00315D40"/>
    <w:rsid w:val="00345CF8"/>
    <w:rsid w:val="003B3B4B"/>
    <w:rsid w:val="003D248E"/>
    <w:rsid w:val="003E4DC4"/>
    <w:rsid w:val="003F6DB9"/>
    <w:rsid w:val="0040048C"/>
    <w:rsid w:val="004108D0"/>
    <w:rsid w:val="004317B8"/>
    <w:rsid w:val="00456893"/>
    <w:rsid w:val="00461BA7"/>
    <w:rsid w:val="00464DCD"/>
    <w:rsid w:val="004778F4"/>
    <w:rsid w:val="00480FA1"/>
    <w:rsid w:val="004A2FE0"/>
    <w:rsid w:val="004A59A7"/>
    <w:rsid w:val="004F4F71"/>
    <w:rsid w:val="00502880"/>
    <w:rsid w:val="00580A23"/>
    <w:rsid w:val="00593E8A"/>
    <w:rsid w:val="005C19DA"/>
    <w:rsid w:val="00617E93"/>
    <w:rsid w:val="00685DB4"/>
    <w:rsid w:val="00685E84"/>
    <w:rsid w:val="006940C2"/>
    <w:rsid w:val="006A4E57"/>
    <w:rsid w:val="006B26BB"/>
    <w:rsid w:val="006C6039"/>
    <w:rsid w:val="006D51D7"/>
    <w:rsid w:val="00721D61"/>
    <w:rsid w:val="0072530C"/>
    <w:rsid w:val="00737EDB"/>
    <w:rsid w:val="00742CA4"/>
    <w:rsid w:val="00756C5A"/>
    <w:rsid w:val="00763792"/>
    <w:rsid w:val="007816A8"/>
    <w:rsid w:val="007A5D7C"/>
    <w:rsid w:val="007B2381"/>
    <w:rsid w:val="007B25E6"/>
    <w:rsid w:val="007D52B6"/>
    <w:rsid w:val="007E37F3"/>
    <w:rsid w:val="007E417F"/>
    <w:rsid w:val="007F2906"/>
    <w:rsid w:val="008B176F"/>
    <w:rsid w:val="008B50E8"/>
    <w:rsid w:val="008C6F09"/>
    <w:rsid w:val="008D18ED"/>
    <w:rsid w:val="008D4AA1"/>
    <w:rsid w:val="008D4D49"/>
    <w:rsid w:val="00902BF5"/>
    <w:rsid w:val="00902C78"/>
    <w:rsid w:val="00955038"/>
    <w:rsid w:val="00962509"/>
    <w:rsid w:val="00966D22"/>
    <w:rsid w:val="00991A0C"/>
    <w:rsid w:val="009A430E"/>
    <w:rsid w:val="009A4FAC"/>
    <w:rsid w:val="009C21B6"/>
    <w:rsid w:val="00A039B4"/>
    <w:rsid w:val="00A11E39"/>
    <w:rsid w:val="00A32D2F"/>
    <w:rsid w:val="00A415DD"/>
    <w:rsid w:val="00A513F1"/>
    <w:rsid w:val="00A67429"/>
    <w:rsid w:val="00A77FAF"/>
    <w:rsid w:val="00A95CD6"/>
    <w:rsid w:val="00AA00DE"/>
    <w:rsid w:val="00AC7438"/>
    <w:rsid w:val="00AE4711"/>
    <w:rsid w:val="00B00722"/>
    <w:rsid w:val="00B01CF8"/>
    <w:rsid w:val="00B16B47"/>
    <w:rsid w:val="00B23606"/>
    <w:rsid w:val="00B4313B"/>
    <w:rsid w:val="00B452C3"/>
    <w:rsid w:val="00B668AB"/>
    <w:rsid w:val="00B85660"/>
    <w:rsid w:val="00B868D3"/>
    <w:rsid w:val="00BA0D3A"/>
    <w:rsid w:val="00BA69EC"/>
    <w:rsid w:val="00BB6208"/>
    <w:rsid w:val="00BD6565"/>
    <w:rsid w:val="00C03F5B"/>
    <w:rsid w:val="00C137C8"/>
    <w:rsid w:val="00C25823"/>
    <w:rsid w:val="00C73023"/>
    <w:rsid w:val="00C834B4"/>
    <w:rsid w:val="00CA18AD"/>
    <w:rsid w:val="00CE4520"/>
    <w:rsid w:val="00CF2652"/>
    <w:rsid w:val="00D04F38"/>
    <w:rsid w:val="00D056BE"/>
    <w:rsid w:val="00D05E17"/>
    <w:rsid w:val="00D23438"/>
    <w:rsid w:val="00D612EF"/>
    <w:rsid w:val="00D66ACE"/>
    <w:rsid w:val="00D80DA0"/>
    <w:rsid w:val="00D8424F"/>
    <w:rsid w:val="00DA0B65"/>
    <w:rsid w:val="00DF5B5A"/>
    <w:rsid w:val="00E02228"/>
    <w:rsid w:val="00E02B28"/>
    <w:rsid w:val="00E12366"/>
    <w:rsid w:val="00E20DC1"/>
    <w:rsid w:val="00E25077"/>
    <w:rsid w:val="00E37336"/>
    <w:rsid w:val="00E509DF"/>
    <w:rsid w:val="00E52272"/>
    <w:rsid w:val="00E67941"/>
    <w:rsid w:val="00E707A5"/>
    <w:rsid w:val="00E720C7"/>
    <w:rsid w:val="00E91BB0"/>
    <w:rsid w:val="00ED2AE2"/>
    <w:rsid w:val="00ED2C6B"/>
    <w:rsid w:val="00F26770"/>
    <w:rsid w:val="00F26FA4"/>
    <w:rsid w:val="00F77E0A"/>
    <w:rsid w:val="00F90CFB"/>
    <w:rsid w:val="00FA1FE2"/>
    <w:rsid w:val="00FB5FF8"/>
    <w:rsid w:val="00FE5E73"/>
    <w:rsid w:val="00FF02CC"/>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7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656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D6565"/>
    <w:rPr>
      <w:rFonts w:cs="Times New Roman"/>
    </w:rPr>
  </w:style>
  <w:style w:type="paragraph" w:styleId="Header">
    <w:name w:val="header"/>
    <w:basedOn w:val="Normal"/>
    <w:link w:val="HeaderChar"/>
    <w:uiPriority w:val="99"/>
    <w:rsid w:val="00BD656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51880887">
      <w:marLeft w:val="0"/>
      <w:marRight w:val="0"/>
      <w:marTop w:val="0"/>
      <w:marBottom w:val="0"/>
      <w:divBdr>
        <w:top w:val="none" w:sz="0" w:space="0" w:color="auto"/>
        <w:left w:val="none" w:sz="0" w:space="0" w:color="auto"/>
        <w:bottom w:val="none" w:sz="0" w:space="0" w:color="auto"/>
        <w:right w:val="none" w:sz="0" w:space="0" w:color="auto"/>
      </w:divBdr>
    </w:div>
    <w:div w:id="351880888">
      <w:marLeft w:val="0"/>
      <w:marRight w:val="0"/>
      <w:marTop w:val="0"/>
      <w:marBottom w:val="0"/>
      <w:divBdr>
        <w:top w:val="none" w:sz="0" w:space="0" w:color="auto"/>
        <w:left w:val="none" w:sz="0" w:space="0" w:color="auto"/>
        <w:bottom w:val="none" w:sz="0" w:space="0" w:color="auto"/>
        <w:right w:val="none" w:sz="0" w:space="0" w:color="auto"/>
      </w:divBdr>
    </w:div>
    <w:div w:id="351880889">
      <w:marLeft w:val="0"/>
      <w:marRight w:val="0"/>
      <w:marTop w:val="0"/>
      <w:marBottom w:val="0"/>
      <w:divBdr>
        <w:top w:val="none" w:sz="0" w:space="0" w:color="auto"/>
        <w:left w:val="none" w:sz="0" w:space="0" w:color="auto"/>
        <w:bottom w:val="none" w:sz="0" w:space="0" w:color="auto"/>
        <w:right w:val="none" w:sz="0" w:space="0" w:color="auto"/>
      </w:divBdr>
    </w:div>
    <w:div w:id="351880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1571</Words>
  <Characters>8960</Characters>
  <Application>Microsoft Office Outlook</Application>
  <DocSecurity>0</DocSecurity>
  <Lines>0</Lines>
  <Paragraphs>0</Paragraphs>
  <ScaleCrop>false</ScaleCrop>
  <Company>DAITS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Измерване на напредъка в изпълнението  на Цифрова програма за Европа и Национална програма цифрова България</dc:title>
  <dc:subject/>
  <dc:creator>Reny Antonova</dc:creator>
  <cp:keywords/>
  <dc:description/>
  <cp:lastModifiedBy>Anelia Dimova</cp:lastModifiedBy>
  <cp:revision>3</cp:revision>
  <cp:lastPrinted>2014-06-27T08:56:00Z</cp:lastPrinted>
  <dcterms:created xsi:type="dcterms:W3CDTF">2014-07-27T06:49:00Z</dcterms:created>
  <dcterms:modified xsi:type="dcterms:W3CDTF">2014-07-27T09:15:00Z</dcterms:modified>
</cp:coreProperties>
</file>