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7A" w:rsidRDefault="00762589" w:rsidP="00762589">
      <w:pPr>
        <w:spacing w:line="276" w:lineRule="auto"/>
        <w:jc w:val="center"/>
        <w:rPr>
          <w:b/>
          <w:lang w:eastAsia="zh-CN"/>
        </w:rPr>
      </w:pPr>
      <w:r w:rsidRPr="00762589">
        <w:rPr>
          <w:b/>
          <w:lang w:eastAsia="zh-CN"/>
        </w:rPr>
        <w:t>Наредба за изменение и допълнение на Наредба № 57 от 9.06.2004 г. за постигане на оперативна съвместимост на националната железопътна система с железопътната система в рамките на Европейския съюз (</w:t>
      </w:r>
      <w:proofErr w:type="spellStart"/>
      <w:r w:rsidRPr="00762589">
        <w:rPr>
          <w:b/>
          <w:lang w:eastAsia="zh-CN"/>
        </w:rPr>
        <w:t>обн</w:t>
      </w:r>
      <w:proofErr w:type="spellEnd"/>
      <w:r w:rsidRPr="00762589">
        <w:rPr>
          <w:b/>
          <w:lang w:eastAsia="zh-CN"/>
        </w:rPr>
        <w:t>., ДВ, бр. 55 от 2004 г., попр., бр. 60 от 2004 г., изм. и доп., бр. 91 от 2005 г., бр. 55 от 2006 г., попр., бр. 59 от 2006 г., изм. и доп., бр. 88 от 2007 г., бр. 84 от 2010 г., бр. 5 от 2012 г., доп., бр. 3 от 2013 г., изм. и доп., бр. 71 от 2013 г., бр. 106 от 2013 г.)</w:t>
      </w:r>
    </w:p>
    <w:p w:rsidR="00762589" w:rsidRPr="0066039A" w:rsidRDefault="00762589">
      <w:pPr>
        <w:spacing w:line="276" w:lineRule="auto"/>
        <w:jc w:val="both"/>
        <w:rPr>
          <w:b/>
          <w:lang w:eastAsia="zh-CN"/>
        </w:rPr>
      </w:pPr>
    </w:p>
    <w:p w:rsidR="001B237A" w:rsidRPr="0066039A" w:rsidRDefault="00896B00">
      <w:pPr>
        <w:spacing w:line="276" w:lineRule="auto"/>
        <w:ind w:firstLine="708"/>
        <w:jc w:val="both"/>
      </w:pPr>
      <w:r w:rsidRPr="0066039A">
        <w:rPr>
          <w:b/>
          <w:lang w:eastAsia="zh-CN"/>
        </w:rPr>
        <w:t>§ 1</w:t>
      </w:r>
      <w:r w:rsidRPr="0066039A">
        <w:rPr>
          <w:lang w:eastAsia="zh-CN"/>
        </w:rPr>
        <w:t xml:space="preserve">. В </w:t>
      </w:r>
      <w:r w:rsidRPr="00D43AEE">
        <w:rPr>
          <w:lang w:eastAsia="zh-CN"/>
        </w:rPr>
        <w:t xml:space="preserve">чл. 13, ал. 2 се </w:t>
      </w:r>
      <w:r w:rsidR="00773974" w:rsidRPr="00D43AEE">
        <w:rPr>
          <w:lang w:eastAsia="zh-CN"/>
        </w:rPr>
        <w:t>изменя така</w:t>
      </w:r>
      <w:r w:rsidRPr="00D43AEE">
        <w:rPr>
          <w:lang w:eastAsia="zh-CN"/>
        </w:rPr>
        <w:t xml:space="preserve">: </w:t>
      </w:r>
    </w:p>
    <w:p w:rsidR="001B237A" w:rsidRPr="0066039A" w:rsidRDefault="00896B00">
      <w:pPr>
        <w:widowControl w:val="0"/>
        <w:autoSpaceDE w:val="0"/>
        <w:ind w:right="23" w:firstLine="540"/>
        <w:jc w:val="both"/>
      </w:pPr>
      <w:r w:rsidRPr="0066039A">
        <w:rPr>
          <w:shd w:val="clear" w:color="auto" w:fill="FFFFFF"/>
        </w:rPr>
        <w:t xml:space="preserve">„(2) </w:t>
      </w:r>
      <w:r w:rsidRPr="0066039A">
        <w:rPr>
          <w:shd w:val="clear" w:color="auto" w:fill="FEFEFE"/>
        </w:rPr>
        <w:t>При п</w:t>
      </w:r>
      <w:r w:rsidRPr="0066039A">
        <w:t xml:space="preserve">роектирането и експлоатацията на железопътната система не се допускат нива на шум над допустимите </w:t>
      </w:r>
      <w:r w:rsidR="00046626" w:rsidRPr="0066039A">
        <w:t>съгласно действащите разпоредби, както следва:</w:t>
      </w:r>
    </w:p>
    <w:p w:rsidR="00CD4569" w:rsidRPr="0066039A" w:rsidRDefault="00762589" w:rsidP="00762589">
      <w:pPr>
        <w:ind w:firstLine="567"/>
        <w:jc w:val="both"/>
      </w:pPr>
      <w:r>
        <w:t>1.</w:t>
      </w:r>
      <w:r w:rsidR="00896B00" w:rsidRPr="0066039A">
        <w:t xml:space="preserve"> в райони</w:t>
      </w:r>
      <w:r>
        <w:t>,</w:t>
      </w:r>
      <w:r w:rsidR="00C70D80" w:rsidRPr="0066039A">
        <w:t xml:space="preserve"> в близост до железопътна инфраструктура</w:t>
      </w:r>
      <w:r>
        <w:t>,</w:t>
      </w:r>
      <w:r w:rsidR="00CE68C9" w:rsidRPr="0066039A">
        <w:rPr>
          <w:lang w:val="en-US"/>
        </w:rPr>
        <w:t xml:space="preserve"> </w:t>
      </w:r>
      <w:r w:rsidR="00CE68C9" w:rsidRPr="0066039A">
        <w:t>в които нивото на шум се измерва</w:t>
      </w:r>
      <w:r w:rsidR="00CD4569" w:rsidRPr="0066039A">
        <w:t xml:space="preserve"> съгласно </w:t>
      </w:r>
      <w:r w:rsidR="00CE68C9" w:rsidRPr="0066039A">
        <w:t xml:space="preserve">изискванията на </w:t>
      </w:r>
      <w:r>
        <w:t>Н</w:t>
      </w:r>
      <w:r>
        <w:t>аредба</w:t>
      </w:r>
      <w:r>
        <w:t xml:space="preserve"> № 6 от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</w:t>
      </w:r>
      <w:r>
        <w:t>дравето на населението (</w:t>
      </w:r>
      <w:proofErr w:type="spellStart"/>
      <w:r>
        <w:t>обн</w:t>
      </w:r>
      <w:proofErr w:type="spellEnd"/>
      <w:r>
        <w:t xml:space="preserve">., ДВ, бр. 58 от </w:t>
      </w:r>
      <w:r>
        <w:t>2006 г.</w:t>
      </w:r>
      <w:r>
        <w:t>);</w:t>
      </w:r>
    </w:p>
    <w:p w:rsidR="001B237A" w:rsidRPr="0066039A" w:rsidRDefault="00762589" w:rsidP="007849C0">
      <w:pPr>
        <w:widowControl w:val="0"/>
        <w:autoSpaceDE w:val="0"/>
        <w:ind w:right="23" w:firstLine="540"/>
        <w:jc w:val="both"/>
      </w:pPr>
      <w:r>
        <w:t>2.</w:t>
      </w:r>
      <w:r w:rsidR="00896B00" w:rsidRPr="0066039A">
        <w:rPr>
          <w:shd w:val="clear" w:color="auto" w:fill="FFFFFF"/>
        </w:rPr>
        <w:t xml:space="preserve"> </w:t>
      </w:r>
      <w:r w:rsidR="00896B00" w:rsidRPr="0066039A">
        <w:t>в кабината на машиниста</w:t>
      </w:r>
      <w:r w:rsidR="00896B00" w:rsidRPr="0066039A">
        <w:rPr>
          <w:shd w:val="clear" w:color="auto" w:fill="FFFFFF"/>
        </w:rPr>
        <w:t>.”</w:t>
      </w:r>
    </w:p>
    <w:p w:rsidR="00C2649F" w:rsidRPr="0066039A" w:rsidRDefault="00C2649F">
      <w:pPr>
        <w:spacing w:line="276" w:lineRule="auto"/>
        <w:ind w:left="720"/>
        <w:jc w:val="both"/>
        <w:rPr>
          <w:b/>
        </w:rPr>
      </w:pPr>
    </w:p>
    <w:p w:rsidR="001B237A" w:rsidRPr="0066039A" w:rsidRDefault="00896B00">
      <w:pPr>
        <w:spacing w:line="276" w:lineRule="auto"/>
        <w:ind w:left="720"/>
        <w:jc w:val="both"/>
      </w:pPr>
      <w:r w:rsidRPr="0066039A">
        <w:rPr>
          <w:b/>
        </w:rPr>
        <w:t xml:space="preserve">§ 2. </w:t>
      </w:r>
      <w:r w:rsidRPr="0066039A">
        <w:t xml:space="preserve">В чл. 44б, ал. 2 се </w:t>
      </w:r>
      <w:r w:rsidR="00773974" w:rsidRPr="00D43AEE">
        <w:t>изменя така</w:t>
      </w:r>
      <w:r w:rsidRPr="00D43AEE">
        <w:t>:</w:t>
      </w:r>
    </w:p>
    <w:p w:rsidR="001B237A" w:rsidRPr="0066039A" w:rsidRDefault="00896B00">
      <w:pPr>
        <w:ind w:firstLine="480"/>
        <w:jc w:val="both"/>
      </w:pPr>
      <w:r w:rsidRPr="0066039A">
        <w:rPr>
          <w:b/>
          <w:bCs/>
        </w:rPr>
        <w:t>„</w:t>
      </w:r>
      <w:r w:rsidRPr="0066039A">
        <w:t>(2) В срока по ал. 1</w:t>
      </w:r>
      <w:r w:rsidR="00762589">
        <w:t xml:space="preserve"> изпълнителният директор на ИА „ЖА“</w:t>
      </w:r>
      <w:r w:rsidRPr="0066039A">
        <w:t xml:space="preserve"> дава писмено становище за степента на прилагане на съответните ТСОС в съответствие с националните стратегии и планове за внедряване на ТСОС.“</w:t>
      </w:r>
    </w:p>
    <w:p w:rsidR="00CE68C9" w:rsidRPr="0066039A" w:rsidRDefault="00CE68C9">
      <w:pPr>
        <w:ind w:firstLine="480"/>
        <w:jc w:val="both"/>
      </w:pPr>
    </w:p>
    <w:p w:rsidR="00762589" w:rsidRDefault="009E33BE" w:rsidP="00762589">
      <w:pPr>
        <w:spacing w:line="276" w:lineRule="auto"/>
        <w:ind w:firstLine="708"/>
        <w:jc w:val="both"/>
      </w:pPr>
      <w:r w:rsidRPr="00D946B6">
        <w:rPr>
          <w:b/>
        </w:rPr>
        <w:t xml:space="preserve">§ 3. </w:t>
      </w:r>
      <w:r w:rsidRPr="00D946B6">
        <w:t>В чл. 44в</w:t>
      </w:r>
      <w:r w:rsidR="00773974" w:rsidRPr="00D946B6">
        <w:t>,  се правят следните изменения и допълнения:</w:t>
      </w:r>
    </w:p>
    <w:p w:rsidR="00762589" w:rsidRDefault="00762589" w:rsidP="00762589">
      <w:pPr>
        <w:spacing w:line="276" w:lineRule="auto"/>
        <w:ind w:firstLine="708"/>
        <w:jc w:val="both"/>
      </w:pPr>
      <w:r>
        <w:t xml:space="preserve">1. </w:t>
      </w:r>
      <w:r w:rsidR="00A443B2" w:rsidRPr="00D946B6">
        <w:t>В</w:t>
      </w:r>
      <w:r w:rsidR="00773974" w:rsidRPr="00D946B6">
        <w:t xml:space="preserve"> </w:t>
      </w:r>
      <w:r>
        <w:t>ал. 2:</w:t>
      </w:r>
    </w:p>
    <w:p w:rsidR="00762589" w:rsidRDefault="00762589" w:rsidP="00762589">
      <w:pPr>
        <w:spacing w:line="276" w:lineRule="auto"/>
        <w:ind w:firstLine="708"/>
        <w:jc w:val="both"/>
      </w:pPr>
      <w:r>
        <w:t>а) в</w:t>
      </w:r>
      <w:r w:rsidR="00A443B2" w:rsidRPr="00D946B6">
        <w:t xml:space="preserve"> </w:t>
      </w:r>
      <w:r w:rsidR="009E33BE" w:rsidRPr="00D946B6">
        <w:t>т.</w:t>
      </w:r>
      <w:r w:rsidR="007223BF" w:rsidRPr="00D946B6">
        <w:t xml:space="preserve"> </w:t>
      </w:r>
      <w:r w:rsidR="009E33BE" w:rsidRPr="00D946B6">
        <w:t>8 думите „по чл. 38, ал. 2“ се заме</w:t>
      </w:r>
      <w:r>
        <w:t>нят с „по чл. 50, ал. 4“;</w:t>
      </w:r>
    </w:p>
    <w:p w:rsidR="001B237A" w:rsidRPr="00D946B6" w:rsidRDefault="00762589" w:rsidP="00762589">
      <w:pPr>
        <w:spacing w:line="276" w:lineRule="auto"/>
        <w:ind w:firstLine="708"/>
        <w:jc w:val="both"/>
      </w:pPr>
      <w:r>
        <w:t xml:space="preserve">б) </w:t>
      </w:r>
      <w:r w:rsidR="00A443B2" w:rsidRPr="00D946B6">
        <w:t>в</w:t>
      </w:r>
      <w:r w:rsidR="00773974" w:rsidRPr="00D946B6">
        <w:t xml:space="preserve"> </w:t>
      </w:r>
      <w:r w:rsidR="00896B00" w:rsidRPr="00D946B6">
        <w:t>т.</w:t>
      </w:r>
      <w:r w:rsidR="00A443B2" w:rsidRPr="00D946B6">
        <w:t xml:space="preserve"> </w:t>
      </w:r>
      <w:r w:rsidR="00896B00" w:rsidRPr="00D946B6">
        <w:t>12 думата „свързана</w:t>
      </w:r>
      <w:r>
        <w:t>“ се заменя със „свързани“.</w:t>
      </w:r>
    </w:p>
    <w:p w:rsidR="00A443B2" w:rsidRPr="00D946B6" w:rsidRDefault="00762589" w:rsidP="00762589">
      <w:pPr>
        <w:pStyle w:val="ListParagraph"/>
        <w:numPr>
          <w:ilvl w:val="0"/>
          <w:numId w:val="10"/>
        </w:numPr>
        <w:spacing w:line="276" w:lineRule="auto"/>
        <w:jc w:val="both"/>
      </w:pPr>
      <w:r>
        <w:t>Алинея</w:t>
      </w:r>
      <w:r w:rsidR="00A443B2" w:rsidRPr="00D946B6">
        <w:t xml:space="preserve"> 3 се изменя така:</w:t>
      </w:r>
    </w:p>
    <w:p w:rsidR="00DF538D" w:rsidRPr="00D946B6" w:rsidRDefault="00A443B2" w:rsidP="00762589">
      <w:pPr>
        <w:spacing w:line="276" w:lineRule="auto"/>
        <w:ind w:firstLine="709"/>
        <w:jc w:val="both"/>
        <w:rPr>
          <w:lang w:val="en-US"/>
        </w:rPr>
      </w:pPr>
      <w:r>
        <w:t xml:space="preserve">„(3) </w:t>
      </w:r>
      <w:r w:rsidRPr="00A443B2">
        <w:t>За подсистеми, които не съответстват на ТСОС</w:t>
      </w:r>
      <w:r w:rsidR="00762589">
        <w:t>,</w:t>
      </w:r>
      <w:r w:rsidRPr="00A443B2">
        <w:t xml:space="preserve"> </w:t>
      </w:r>
      <w:r w:rsidR="00DF538D">
        <w:t xml:space="preserve">се прилагат </w:t>
      </w:r>
      <w:r>
        <w:t xml:space="preserve">документите по ал. 2, </w:t>
      </w:r>
      <w:r w:rsidR="00DF538D">
        <w:t xml:space="preserve">като вместо документите по </w:t>
      </w:r>
      <w:r>
        <w:t xml:space="preserve">т. </w:t>
      </w:r>
      <w:r w:rsidR="00D946B6">
        <w:t>4, 5, 7 и 8 се прилагат:</w:t>
      </w:r>
    </w:p>
    <w:p w:rsidR="001B237A" w:rsidRDefault="00762589" w:rsidP="00762589">
      <w:pPr>
        <w:spacing w:line="276" w:lineRule="auto"/>
        <w:ind w:firstLine="709"/>
        <w:jc w:val="both"/>
      </w:pPr>
      <w:r>
        <w:t>1</w:t>
      </w:r>
      <w:r w:rsidR="00DF538D">
        <w:t xml:space="preserve">. </w:t>
      </w:r>
      <w:r>
        <w:t>с</w:t>
      </w:r>
      <w:r w:rsidR="00DF538D" w:rsidRPr="00DF538D">
        <w:t>ертификат за извършена проверка на подсистемата по чл. 60в, ал. 2;</w:t>
      </w:r>
    </w:p>
    <w:p w:rsidR="00DF538D" w:rsidRPr="00DF538D" w:rsidRDefault="00762589" w:rsidP="00762589">
      <w:pPr>
        <w:ind w:firstLine="709"/>
      </w:pPr>
      <w:r>
        <w:t>2. техническо досие по чл. 60в, ал. 6</w:t>
      </w:r>
      <w:r w:rsidR="00DF538D" w:rsidRPr="00DF538D">
        <w:t xml:space="preserve">; </w:t>
      </w:r>
    </w:p>
    <w:p w:rsidR="00DF538D" w:rsidRDefault="00762589" w:rsidP="00762589">
      <w:pPr>
        <w:spacing w:line="276" w:lineRule="auto"/>
        <w:ind w:firstLine="709"/>
        <w:jc w:val="both"/>
      </w:pPr>
      <w:r>
        <w:t>3. д</w:t>
      </w:r>
      <w:r w:rsidR="00DF538D" w:rsidRPr="00DF538D">
        <w:t>оклад от лицето за оценяване на съответствието с националните правила за безопасност или техническите правила;</w:t>
      </w:r>
    </w:p>
    <w:p w:rsidR="00DF538D" w:rsidRPr="00DF538D" w:rsidRDefault="00762589" w:rsidP="00762589">
      <w:pPr>
        <w:spacing w:line="276" w:lineRule="auto"/>
        <w:ind w:firstLine="709"/>
        <w:jc w:val="both"/>
      </w:pPr>
      <w:r>
        <w:t>4</w:t>
      </w:r>
      <w:r w:rsidR="00DF538D">
        <w:t xml:space="preserve">. </w:t>
      </w:r>
      <w:r>
        <w:t>д</w:t>
      </w:r>
      <w:r w:rsidR="00DF538D" w:rsidRPr="00DF538D">
        <w:t>екларация за проверка на подсистемата съгласно чл. 60в, ал. 4, изготвена от заявителя въз ос</w:t>
      </w:r>
      <w:r>
        <w:t>нова на сертификата по т. 1</w:t>
      </w:r>
      <w:r w:rsidR="00DF538D" w:rsidRPr="00DF538D">
        <w:t>.</w:t>
      </w:r>
      <w:r w:rsidR="00DF538D">
        <w:t>“</w:t>
      </w:r>
    </w:p>
    <w:p w:rsidR="00DF538D" w:rsidRPr="0066039A" w:rsidRDefault="00DF538D">
      <w:pPr>
        <w:spacing w:line="276" w:lineRule="auto"/>
        <w:ind w:firstLine="708"/>
        <w:jc w:val="both"/>
        <w:rPr>
          <w:b/>
        </w:rPr>
      </w:pPr>
    </w:p>
    <w:p w:rsidR="00762589" w:rsidRDefault="00896B00" w:rsidP="00762589">
      <w:pPr>
        <w:spacing w:line="276" w:lineRule="auto"/>
        <w:ind w:firstLine="708"/>
        <w:jc w:val="both"/>
      </w:pPr>
      <w:r w:rsidRPr="0066039A">
        <w:rPr>
          <w:b/>
        </w:rPr>
        <w:t xml:space="preserve">§ </w:t>
      </w:r>
      <w:r w:rsidR="00A443B2">
        <w:rPr>
          <w:b/>
        </w:rPr>
        <w:t>4</w:t>
      </w:r>
      <w:r w:rsidRPr="0066039A">
        <w:rPr>
          <w:b/>
        </w:rPr>
        <w:t xml:space="preserve">. </w:t>
      </w:r>
      <w:r w:rsidRPr="00762589">
        <w:t>В чл. 45</w:t>
      </w:r>
      <w:r w:rsidR="00773974" w:rsidRPr="00762589">
        <w:t xml:space="preserve"> се правят следните изменения и допълнения:</w:t>
      </w:r>
    </w:p>
    <w:p w:rsidR="00773974" w:rsidRPr="00F25E75" w:rsidRDefault="00762589" w:rsidP="00762589">
      <w:pPr>
        <w:pStyle w:val="ListParagraph"/>
        <w:numPr>
          <w:ilvl w:val="0"/>
          <w:numId w:val="11"/>
        </w:numPr>
        <w:spacing w:line="276" w:lineRule="auto"/>
        <w:jc w:val="both"/>
      </w:pPr>
      <w:r>
        <w:t>Алинея</w:t>
      </w:r>
      <w:r w:rsidR="00773974" w:rsidRPr="00F25E75">
        <w:t xml:space="preserve"> 1 се изменя така:</w:t>
      </w:r>
    </w:p>
    <w:p w:rsidR="00773974" w:rsidRDefault="00773974" w:rsidP="00773974">
      <w:pPr>
        <w:spacing w:line="276" w:lineRule="auto"/>
        <w:ind w:firstLine="708"/>
        <w:jc w:val="both"/>
      </w:pPr>
      <w:r>
        <w:t xml:space="preserve">„(1) </w:t>
      </w:r>
      <w:r w:rsidRPr="00773974">
        <w:t>В случай на обновяване или модернизация възложителят или производителят</w:t>
      </w:r>
      <w:r w:rsidR="00762589">
        <w:t xml:space="preserve"> изпраща до ИА „ЖА“</w:t>
      </w:r>
      <w:r w:rsidRPr="00773974">
        <w:t xml:space="preserve"> досие, което съдържа</w:t>
      </w:r>
      <w:r>
        <w:t>:</w:t>
      </w:r>
      <w:r w:rsidRPr="00773974">
        <w:t>.</w:t>
      </w:r>
    </w:p>
    <w:p w:rsidR="001B237A" w:rsidRPr="00F25E75" w:rsidRDefault="00896B00" w:rsidP="00843C78">
      <w:pPr>
        <w:pStyle w:val="ListParagraph"/>
        <w:numPr>
          <w:ilvl w:val="0"/>
          <w:numId w:val="7"/>
        </w:numPr>
        <w:tabs>
          <w:tab w:val="left" w:pos="851"/>
        </w:tabs>
        <w:ind w:left="0" w:firstLine="851"/>
        <w:jc w:val="both"/>
      </w:pPr>
      <w:r w:rsidRPr="00F25E75">
        <w:rPr>
          <w:spacing w:val="-1"/>
        </w:rPr>
        <w:t>описание на съществуващ</w:t>
      </w:r>
      <w:r w:rsidR="00773974" w:rsidRPr="00F25E75">
        <w:rPr>
          <w:spacing w:val="-1"/>
        </w:rPr>
        <w:t xml:space="preserve">ата </w:t>
      </w:r>
      <w:r w:rsidRPr="00F25E75">
        <w:rPr>
          <w:spacing w:val="-1"/>
        </w:rPr>
        <w:t>подсистем</w:t>
      </w:r>
      <w:r w:rsidR="00773974" w:rsidRPr="00F25E75">
        <w:rPr>
          <w:spacing w:val="-1"/>
        </w:rPr>
        <w:t>а или подсистеми</w:t>
      </w:r>
      <w:r w:rsidRPr="00F25E75">
        <w:rPr>
          <w:spacing w:val="-1"/>
        </w:rPr>
        <w:t>, които ще бъдат модернизирани;</w:t>
      </w:r>
    </w:p>
    <w:p w:rsidR="001B237A" w:rsidRPr="00773974" w:rsidRDefault="00896B00" w:rsidP="00773974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spacing w:val="-1"/>
        </w:rPr>
      </w:pPr>
      <w:r w:rsidRPr="00773974">
        <w:rPr>
          <w:spacing w:val="-1"/>
        </w:rPr>
        <w:t>описание на промените, които ще бъдат направени за отделните подсистеми;</w:t>
      </w:r>
    </w:p>
    <w:p w:rsidR="001B237A" w:rsidRPr="00773974" w:rsidRDefault="00896B00" w:rsidP="00843C78">
      <w:pPr>
        <w:pStyle w:val="ListParagraph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spacing w:val="-1"/>
        </w:rPr>
      </w:pPr>
      <w:r w:rsidRPr="00773974">
        <w:rPr>
          <w:spacing w:val="-1"/>
        </w:rPr>
        <w:t xml:space="preserve">предвиденото изпълнение на изискванията за отделните подсистеми по отношение на оперативната съвместимост, заложени в приложимите </w:t>
      </w:r>
      <w:r w:rsidR="00843C78">
        <w:rPr>
          <w:spacing w:val="-1"/>
        </w:rPr>
        <w:t>ТСОС</w:t>
      </w:r>
      <w:r w:rsidRPr="00773974">
        <w:rPr>
          <w:spacing w:val="-1"/>
        </w:rPr>
        <w:t>;</w:t>
      </w:r>
    </w:p>
    <w:p w:rsidR="001B237A" w:rsidRPr="00773974" w:rsidRDefault="00896B00" w:rsidP="00843C78">
      <w:pPr>
        <w:pStyle w:val="ListParagraph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spacing w:val="-1"/>
        </w:rPr>
      </w:pPr>
      <w:r w:rsidRPr="00773974">
        <w:rPr>
          <w:spacing w:val="-1"/>
        </w:rPr>
        <w:t>степента на изпълнение на Стратегиите за внедряване на ТСОС за конвенционалната железопътна система в Република България и Националните дългосрочни планове за внедряване на ТСОС;</w:t>
      </w:r>
    </w:p>
    <w:p w:rsidR="00843C78" w:rsidRDefault="00843C78" w:rsidP="00843C78">
      <w:pPr>
        <w:pStyle w:val="ListParagraph"/>
        <w:numPr>
          <w:ilvl w:val="0"/>
          <w:numId w:val="7"/>
        </w:numPr>
        <w:tabs>
          <w:tab w:val="left" w:pos="851"/>
        </w:tabs>
        <w:ind w:left="0" w:firstLine="851"/>
        <w:jc w:val="both"/>
        <w:rPr>
          <w:spacing w:val="-1"/>
        </w:rPr>
      </w:pPr>
      <w:r>
        <w:rPr>
          <w:spacing w:val="-1"/>
        </w:rPr>
        <w:lastRenderedPageBreak/>
        <w:t>о</w:t>
      </w:r>
      <w:r w:rsidR="00896B00" w:rsidRPr="00773974">
        <w:rPr>
          <w:spacing w:val="-1"/>
        </w:rPr>
        <w:t>ценка на потенциалното въздействие на промяната върху безопасността на железопътната система.</w:t>
      </w:r>
      <w:r w:rsidR="00773974">
        <w:rPr>
          <w:spacing w:val="-1"/>
        </w:rPr>
        <w:t>“</w:t>
      </w:r>
    </w:p>
    <w:p w:rsidR="00843C78" w:rsidRDefault="00843C78" w:rsidP="00843C78">
      <w:pPr>
        <w:tabs>
          <w:tab w:val="left" w:pos="851"/>
        </w:tabs>
        <w:jc w:val="both"/>
        <w:rPr>
          <w:spacing w:val="-1"/>
        </w:rPr>
      </w:pPr>
      <w:r>
        <w:rPr>
          <w:spacing w:val="-1"/>
        </w:rPr>
        <w:tab/>
        <w:t xml:space="preserve">2. </w:t>
      </w:r>
      <w:r w:rsidR="00773974" w:rsidRPr="00843C78">
        <w:rPr>
          <w:spacing w:val="-1"/>
        </w:rPr>
        <w:t xml:space="preserve">В </w:t>
      </w:r>
      <w:r w:rsidR="00896B00" w:rsidRPr="00843C78">
        <w:rPr>
          <w:spacing w:val="-1"/>
        </w:rPr>
        <w:t>ал.</w:t>
      </w:r>
      <w:r w:rsidR="0027340C" w:rsidRPr="00843C78">
        <w:rPr>
          <w:spacing w:val="-1"/>
        </w:rPr>
        <w:t xml:space="preserve"> </w:t>
      </w:r>
      <w:r w:rsidR="00896B00" w:rsidRPr="00843C78">
        <w:rPr>
          <w:spacing w:val="-1"/>
        </w:rPr>
        <w:t>3</w:t>
      </w:r>
      <w:r w:rsidR="00896B00" w:rsidRPr="00843C78">
        <w:rPr>
          <w:b/>
          <w:spacing w:val="-1"/>
        </w:rPr>
        <w:t xml:space="preserve"> </w:t>
      </w:r>
      <w:r w:rsidR="00896B00" w:rsidRPr="00843C78">
        <w:rPr>
          <w:spacing w:val="-1"/>
        </w:rPr>
        <w:t>думата „</w:t>
      </w:r>
      <w:r w:rsidR="00896B00" w:rsidRPr="0066039A">
        <w:t>отрицателно</w:t>
      </w:r>
      <w:r w:rsidR="00896B00" w:rsidRPr="00843C78">
        <w:rPr>
          <w:spacing w:val="-1"/>
        </w:rPr>
        <w:t>“ се заличава</w:t>
      </w:r>
      <w:r w:rsidR="00773974" w:rsidRPr="00843C78">
        <w:rPr>
          <w:spacing w:val="-1"/>
        </w:rPr>
        <w:t>,</w:t>
      </w:r>
      <w:r w:rsidR="00896B00" w:rsidRPr="00843C78">
        <w:rPr>
          <w:spacing w:val="-1"/>
        </w:rPr>
        <w:t xml:space="preserve"> </w:t>
      </w:r>
      <w:r w:rsidR="00773974" w:rsidRPr="00843C78">
        <w:rPr>
          <w:spacing w:val="-1"/>
        </w:rPr>
        <w:t>а</w:t>
      </w:r>
      <w:r w:rsidR="00896B00" w:rsidRPr="00843C78">
        <w:rPr>
          <w:spacing w:val="-1"/>
        </w:rPr>
        <w:t xml:space="preserve"> след думата „безопасност“ се поставя точка и текстът до края се заличава.</w:t>
      </w:r>
    </w:p>
    <w:p w:rsidR="001B237A" w:rsidRPr="00843C78" w:rsidRDefault="00843C78" w:rsidP="00843C78">
      <w:pPr>
        <w:tabs>
          <w:tab w:val="left" w:pos="851"/>
        </w:tabs>
        <w:jc w:val="both"/>
        <w:rPr>
          <w:spacing w:val="-1"/>
        </w:rPr>
      </w:pPr>
      <w:r>
        <w:tab/>
        <w:t xml:space="preserve">3. </w:t>
      </w:r>
      <w:r w:rsidR="00773974">
        <w:t>С</w:t>
      </w:r>
      <w:r w:rsidR="0054044A" w:rsidRPr="0066039A">
        <w:t>ъзд</w:t>
      </w:r>
      <w:r>
        <w:t>ава нова ал. 6</w:t>
      </w:r>
      <w:r w:rsidR="0054044A" w:rsidRPr="0066039A">
        <w:t>:</w:t>
      </w:r>
    </w:p>
    <w:p w:rsidR="009C1EC3" w:rsidRDefault="00B96B98" w:rsidP="009C1EC3">
      <w:pPr>
        <w:ind w:firstLine="708"/>
        <w:jc w:val="both"/>
      </w:pPr>
      <w:r w:rsidRPr="0066039A">
        <w:t>„(6) В случаите, когато е необходимо издаване на ново разрешение за въвеждане в експлоатация на обновени или модернизирани подсисте</w:t>
      </w:r>
      <w:r w:rsidR="009C1EC3">
        <w:t xml:space="preserve">ми, се прилагат </w:t>
      </w:r>
      <w:r w:rsidRPr="0066039A">
        <w:t>чл. 44в</w:t>
      </w:r>
      <w:r w:rsidR="00A443B2">
        <w:t xml:space="preserve"> - </w:t>
      </w:r>
      <w:r w:rsidRPr="0066039A">
        <w:t>44д</w:t>
      </w:r>
      <w:r w:rsidRPr="00F25E75">
        <w:t xml:space="preserve">, с изключение на </w:t>
      </w:r>
      <w:r w:rsidR="00A443B2" w:rsidRPr="00F25E75">
        <w:t xml:space="preserve">изискването за прилагане на документите по чл. 44в, ал. 2, </w:t>
      </w:r>
      <w:r w:rsidRPr="00F25E75">
        <w:t>т.</w:t>
      </w:r>
      <w:r w:rsidR="00773974" w:rsidRPr="00F25E75">
        <w:t xml:space="preserve"> </w:t>
      </w:r>
      <w:r w:rsidRPr="00F25E75">
        <w:t xml:space="preserve">1, </w:t>
      </w:r>
      <w:r w:rsidR="00A443B2" w:rsidRPr="00F25E75">
        <w:t>като вместо това се</w:t>
      </w:r>
      <w:r w:rsidRPr="00F25E75">
        <w:t xml:space="preserve"> прилага становището на ИА</w:t>
      </w:r>
      <w:r w:rsidR="009C1EC3">
        <w:t xml:space="preserve"> „</w:t>
      </w:r>
      <w:r w:rsidRPr="00F25E75">
        <w:t>ЖА</w:t>
      </w:r>
      <w:r w:rsidR="009C1EC3">
        <w:t>“</w:t>
      </w:r>
      <w:r w:rsidRPr="00F25E75">
        <w:t xml:space="preserve"> относно необходимостта от издаване на ново разрешени</w:t>
      </w:r>
      <w:r w:rsidR="009C1EC3">
        <w:t>е за въвеждане в експлоатация.“</w:t>
      </w:r>
    </w:p>
    <w:p w:rsidR="001B237A" w:rsidRPr="00F25E75" w:rsidRDefault="009C1EC3" w:rsidP="009C1EC3">
      <w:pPr>
        <w:ind w:firstLine="708"/>
        <w:jc w:val="both"/>
      </w:pPr>
      <w:r>
        <w:t xml:space="preserve">4. </w:t>
      </w:r>
      <w:r w:rsidR="00773974" w:rsidRPr="00F25E75">
        <w:t xml:space="preserve">Досегашната </w:t>
      </w:r>
      <w:r w:rsidR="00425EF7" w:rsidRPr="00F25E75">
        <w:t>ал. 6 става ал. 7 и в нея</w:t>
      </w:r>
      <w:r w:rsidR="00A443B2" w:rsidRPr="00F25E75">
        <w:t xml:space="preserve"> д</w:t>
      </w:r>
      <w:r w:rsidR="00896B00" w:rsidRPr="009C1EC3">
        <w:rPr>
          <w:spacing w:val="-1"/>
        </w:rPr>
        <w:t>умите „В случа</w:t>
      </w:r>
      <w:r>
        <w:rPr>
          <w:spacing w:val="-1"/>
        </w:rPr>
        <w:t xml:space="preserve">я по ал. 3“ се заменят с </w:t>
      </w:r>
      <w:r w:rsidR="00896B00" w:rsidRPr="009C1EC3">
        <w:rPr>
          <w:spacing w:val="-1"/>
        </w:rPr>
        <w:t>„</w:t>
      </w:r>
      <w:r w:rsidR="00896B00" w:rsidRPr="00F25E75">
        <w:t>Когато е необходимо издаване на ново разрешение за въвеждане в експлоатация“.</w:t>
      </w:r>
    </w:p>
    <w:p w:rsidR="001B237A" w:rsidRPr="0066039A" w:rsidRDefault="001B237A">
      <w:pPr>
        <w:ind w:firstLine="426"/>
        <w:rPr>
          <w:b/>
        </w:rPr>
      </w:pPr>
    </w:p>
    <w:p w:rsidR="00283C5E" w:rsidRPr="00F25E75" w:rsidRDefault="00283C5E" w:rsidP="009C1EC3">
      <w:pPr>
        <w:ind w:firstLine="708"/>
        <w:jc w:val="both"/>
      </w:pPr>
      <w:r>
        <w:rPr>
          <w:b/>
        </w:rPr>
        <w:t xml:space="preserve">§ 5. </w:t>
      </w:r>
      <w:r w:rsidRPr="00F25E75">
        <w:t>В чл. 52, ал. 1, т. 7 думите „Регламент (ЕО) 352/2009  на Комисията от 24 април 2009 г. за приемане на общ метод за безопасност относно определянето и оценката на риска в съответствие с член 6, параграф 3, буква а) от Директива 2004/49/ЕО на Европейския парламент и на Съвета (OB, L 108/4 от 29 апр</w:t>
      </w:r>
      <w:r w:rsidR="009C1EC3">
        <w:t>ил 2009 г.)“ се заменят с</w:t>
      </w:r>
      <w:r w:rsidRPr="00F25E75">
        <w:t xml:space="preserve"> „</w:t>
      </w:r>
      <w:r w:rsidR="00C81DB3" w:rsidRPr="00F25E75">
        <w:t>Регламент за изпълнение (ЕС) № 402/2013 на Комисията от 30 април 2013 година относно общия метод за безопасност за определянето и оценката на риска и за отмяна на Регламент (ЕО) №</w:t>
      </w:r>
      <w:r w:rsidR="009C1EC3">
        <w:t xml:space="preserve"> 352/2009 (OB, L 121 от </w:t>
      </w:r>
      <w:r w:rsidR="00C81DB3" w:rsidRPr="00F25E75">
        <w:t>2013 г.)“</w:t>
      </w:r>
    </w:p>
    <w:p w:rsidR="00283C5E" w:rsidRDefault="00283C5E">
      <w:pPr>
        <w:ind w:firstLine="426"/>
        <w:jc w:val="both"/>
        <w:rPr>
          <w:b/>
        </w:rPr>
      </w:pPr>
    </w:p>
    <w:p w:rsidR="001B237A" w:rsidRPr="0066039A" w:rsidRDefault="00896B00">
      <w:pPr>
        <w:ind w:firstLine="426"/>
        <w:jc w:val="both"/>
      </w:pPr>
      <w:r w:rsidRPr="0066039A">
        <w:rPr>
          <w:b/>
        </w:rPr>
        <w:t xml:space="preserve">§ </w:t>
      </w:r>
      <w:r w:rsidR="00283C5E">
        <w:rPr>
          <w:b/>
        </w:rPr>
        <w:t>6</w:t>
      </w:r>
      <w:r w:rsidRPr="0066039A">
        <w:rPr>
          <w:b/>
        </w:rPr>
        <w:t>.</w:t>
      </w:r>
      <w:r w:rsidR="009C1EC3">
        <w:t xml:space="preserve"> В чл.</w:t>
      </w:r>
      <w:r w:rsidRPr="0066039A">
        <w:t xml:space="preserve"> 5</w:t>
      </w:r>
      <w:r w:rsidRPr="0066039A">
        <w:rPr>
          <w:lang w:val="ru-RU"/>
        </w:rPr>
        <w:t>5</w:t>
      </w:r>
      <w:r w:rsidRPr="0066039A">
        <w:t>, ал.</w:t>
      </w:r>
      <w:r w:rsidR="0027340C">
        <w:t xml:space="preserve"> </w:t>
      </w:r>
      <w:r w:rsidRPr="0066039A">
        <w:t>4, т. 9 думите „БД</w:t>
      </w:r>
      <w:r w:rsidR="009C1EC3">
        <w:t xml:space="preserve">С EN 45011” се заменят с </w:t>
      </w:r>
      <w:r w:rsidRPr="0066039A">
        <w:t>„БДС EN ISО/IЕС 17065”</w:t>
      </w:r>
      <w:r w:rsidR="009C1EC3">
        <w:t>.</w:t>
      </w:r>
    </w:p>
    <w:p w:rsidR="001B237A" w:rsidRPr="0066039A" w:rsidRDefault="001B237A">
      <w:pPr>
        <w:ind w:firstLine="426"/>
        <w:jc w:val="both"/>
        <w:rPr>
          <w:b/>
        </w:rPr>
      </w:pPr>
    </w:p>
    <w:p w:rsidR="001B237A" w:rsidRPr="0066039A" w:rsidRDefault="00896B00">
      <w:pPr>
        <w:ind w:firstLine="426"/>
        <w:jc w:val="both"/>
      </w:pPr>
      <w:r w:rsidRPr="0066039A">
        <w:rPr>
          <w:b/>
        </w:rPr>
        <w:t>§</w:t>
      </w:r>
      <w:r w:rsidR="00110223" w:rsidRPr="0066039A">
        <w:rPr>
          <w:b/>
        </w:rPr>
        <w:t xml:space="preserve"> </w:t>
      </w:r>
      <w:r w:rsidR="00283C5E">
        <w:rPr>
          <w:b/>
        </w:rPr>
        <w:t>7</w:t>
      </w:r>
      <w:r w:rsidRPr="0066039A">
        <w:rPr>
          <w:b/>
        </w:rPr>
        <w:t>.</w:t>
      </w:r>
      <w:r w:rsidR="009C1EC3">
        <w:t xml:space="preserve"> В чл.</w:t>
      </w:r>
      <w:r w:rsidRPr="0066039A">
        <w:t xml:space="preserve"> 5</w:t>
      </w:r>
      <w:r w:rsidRPr="0066039A">
        <w:rPr>
          <w:lang w:val="ru-RU"/>
        </w:rPr>
        <w:t>6в</w:t>
      </w:r>
      <w:r w:rsidRPr="0066039A">
        <w:t>, ал.</w:t>
      </w:r>
      <w:r w:rsidR="0027340C">
        <w:t xml:space="preserve"> </w:t>
      </w:r>
      <w:r w:rsidRPr="0066039A">
        <w:t xml:space="preserve">2, т. 9 думите „БДС EN 45011” се </w:t>
      </w:r>
      <w:r w:rsidR="009C1EC3">
        <w:t xml:space="preserve">заменят с </w:t>
      </w:r>
      <w:r w:rsidRPr="0066039A">
        <w:t>„БДС EN ISО/IЕС 17065”</w:t>
      </w:r>
      <w:r w:rsidR="009C1EC3">
        <w:t>.</w:t>
      </w:r>
    </w:p>
    <w:p w:rsidR="001B237A" w:rsidRPr="0066039A" w:rsidRDefault="001B237A">
      <w:pPr>
        <w:ind w:firstLine="426"/>
        <w:jc w:val="both"/>
        <w:rPr>
          <w:b/>
        </w:rPr>
      </w:pPr>
    </w:p>
    <w:p w:rsidR="001B237A" w:rsidRPr="0066039A" w:rsidRDefault="00896B00">
      <w:pPr>
        <w:ind w:firstLine="426"/>
        <w:jc w:val="both"/>
      </w:pPr>
      <w:r w:rsidRPr="0066039A">
        <w:rPr>
          <w:b/>
        </w:rPr>
        <w:t xml:space="preserve">§ </w:t>
      </w:r>
      <w:r w:rsidR="00283C5E">
        <w:rPr>
          <w:b/>
        </w:rPr>
        <w:t>8</w:t>
      </w:r>
      <w:r w:rsidR="009C1EC3">
        <w:t>. В чл.</w:t>
      </w:r>
      <w:r w:rsidRPr="0066039A">
        <w:t xml:space="preserve"> 60а, ал. 1, т. 3 след думите „при</w:t>
      </w:r>
      <w:r w:rsidR="009C1EC3">
        <w:t>лаганите ТСОС“ се добавя</w:t>
      </w:r>
      <w:r w:rsidRPr="0066039A">
        <w:t xml:space="preserve"> „и/или националните технически правила и правила за безопасност“</w:t>
      </w:r>
      <w:r w:rsidR="00A63C77">
        <w:t>.</w:t>
      </w:r>
    </w:p>
    <w:p w:rsidR="001B237A" w:rsidRPr="0066039A" w:rsidRDefault="001B237A">
      <w:pPr>
        <w:widowControl w:val="0"/>
        <w:autoSpaceDE w:val="0"/>
        <w:spacing w:line="276" w:lineRule="auto"/>
        <w:ind w:firstLine="426"/>
        <w:jc w:val="both"/>
        <w:rPr>
          <w:b/>
          <w:lang w:eastAsia="zh-CN"/>
        </w:rPr>
      </w:pPr>
    </w:p>
    <w:p w:rsidR="00945DA7" w:rsidRPr="0066039A" w:rsidRDefault="0027340C">
      <w:pPr>
        <w:widowControl w:val="0"/>
        <w:autoSpaceDE w:val="0"/>
        <w:spacing w:line="276" w:lineRule="auto"/>
        <w:ind w:firstLine="426"/>
        <w:jc w:val="both"/>
        <w:rPr>
          <w:lang w:eastAsia="zh-CN"/>
        </w:rPr>
      </w:pPr>
      <w:r>
        <w:rPr>
          <w:b/>
          <w:lang w:eastAsia="zh-CN"/>
        </w:rPr>
        <w:t xml:space="preserve">§ </w:t>
      </w:r>
      <w:r w:rsidR="00283C5E">
        <w:rPr>
          <w:b/>
          <w:lang w:eastAsia="zh-CN"/>
        </w:rPr>
        <w:t>9</w:t>
      </w:r>
      <w:r w:rsidR="00896B00" w:rsidRPr="0066039A">
        <w:rPr>
          <w:b/>
          <w:lang w:eastAsia="zh-CN"/>
        </w:rPr>
        <w:t xml:space="preserve">. </w:t>
      </w:r>
      <w:r w:rsidR="00896B00" w:rsidRPr="0066039A">
        <w:rPr>
          <w:lang w:eastAsia="zh-CN"/>
        </w:rPr>
        <w:t>Приложение № 8а се изменя така:</w:t>
      </w:r>
    </w:p>
    <w:p w:rsidR="00945DA7" w:rsidRDefault="00945DA7">
      <w:pPr>
        <w:suppressAutoHyphens w:val="0"/>
        <w:spacing w:after="200" w:line="276" w:lineRule="auto"/>
        <w:rPr>
          <w:lang w:eastAsia="zh-CN"/>
        </w:rPr>
      </w:pPr>
      <w:r>
        <w:rPr>
          <w:lang w:eastAsia="zh-CN"/>
        </w:rPr>
        <w:br w:type="page"/>
      </w:r>
    </w:p>
    <w:p w:rsidR="001B237A" w:rsidRDefault="001B237A">
      <w:pPr>
        <w:widowControl w:val="0"/>
        <w:autoSpaceDE w:val="0"/>
        <w:spacing w:line="276" w:lineRule="auto"/>
        <w:ind w:firstLine="426"/>
        <w:jc w:val="both"/>
      </w:pPr>
    </w:p>
    <w:tbl>
      <w:tblPr>
        <w:tblW w:w="11038" w:type="dxa"/>
        <w:tblInd w:w="-9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676"/>
        <w:gridCol w:w="163"/>
        <w:gridCol w:w="5519"/>
      </w:tblGrid>
      <w:tr w:rsidR="001B237A">
        <w:trPr>
          <w:trHeight w:val="541"/>
        </w:trPr>
        <w:tc>
          <w:tcPr>
            <w:tcW w:w="11038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9C1EC3">
            <w:pPr>
              <w:pStyle w:val="Style"/>
              <w:ind w:left="0" w:right="0" w:firstLine="0"/>
              <w:jc w:val="right"/>
            </w:pPr>
            <w:r>
              <w:rPr>
                <w:b/>
                <w:color w:val="333333"/>
                <w:sz w:val="22"/>
                <w:szCs w:val="22"/>
              </w:rPr>
              <w:t>„</w:t>
            </w:r>
            <w:r w:rsidR="00896B00">
              <w:rPr>
                <w:b/>
                <w:color w:val="333333"/>
                <w:sz w:val="22"/>
                <w:szCs w:val="22"/>
                <w:lang w:val="ru-RU"/>
              </w:rPr>
              <w:t>Приложение 8</w:t>
            </w:r>
            <w:r w:rsidR="00896B00">
              <w:rPr>
                <w:b/>
                <w:color w:val="333333"/>
                <w:sz w:val="22"/>
                <w:szCs w:val="22"/>
              </w:rPr>
              <w:t>а</w:t>
            </w:r>
          </w:p>
          <w:p w:rsidR="001B237A" w:rsidRDefault="00896B00">
            <w:pPr>
              <w:pStyle w:val="Style"/>
              <w:ind w:left="0" w:right="0" w:firstLine="0"/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РАЗРЕШЕНИЕ </w:t>
            </w:r>
          </w:p>
          <w:p w:rsidR="001B237A" w:rsidRDefault="00896B00">
            <w:pPr>
              <w:pStyle w:val="Style"/>
              <w:ind w:left="0" w:right="0" w:firstLine="0"/>
              <w:jc w:val="center"/>
            </w:pPr>
            <w:r>
              <w:rPr>
                <w:b/>
                <w:sz w:val="16"/>
                <w:szCs w:val="16"/>
                <w:shd w:val="clear" w:color="auto" w:fill="FFFFFF"/>
                <w:lang w:val="ru-RU"/>
              </w:rPr>
              <w:t xml:space="preserve">ЗА ИЗВЪРШВАНЕ НА ДЕЙНОСТИ ПО ОЦЕНЯВАНЕ СЪОТВЕТСТВИЕТО НА ПОДСИСТЕМА ИЛИ НА ЧАСТ ОТ ПОДСИСТЕМА С ИЗИСКВАНИЯТА НА НАЦИОНАЛНИТЕ ПРАВИЛА ЗА </w:t>
            </w:r>
            <w:proofErr w:type="gramStart"/>
            <w:r>
              <w:rPr>
                <w:b/>
                <w:sz w:val="16"/>
                <w:szCs w:val="16"/>
                <w:shd w:val="clear" w:color="auto" w:fill="FFFFFF"/>
                <w:lang w:val="ru-RU"/>
              </w:rPr>
              <w:t xml:space="preserve">БЕЗОПАСНОСТ </w:t>
            </w:r>
            <w:r>
              <w:rPr>
                <w:b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shd w:val="clear" w:color="auto" w:fill="FFFFFF"/>
                <w:lang w:val="ru-RU"/>
              </w:rPr>
              <w:t>ИЛИ</w:t>
            </w:r>
            <w:proofErr w:type="gramEnd"/>
            <w:r>
              <w:rPr>
                <w:b/>
                <w:sz w:val="16"/>
                <w:szCs w:val="16"/>
                <w:shd w:val="clear" w:color="auto" w:fill="FFFFFF"/>
                <w:lang w:val="ru-RU"/>
              </w:rPr>
              <w:t xml:space="preserve"> С ТЕХНИЧЕСКИТЕ ПРАВИЛА</w:t>
            </w:r>
          </w:p>
          <w:p w:rsidR="001B237A" w:rsidRDefault="00896B00">
            <w:pPr>
              <w:pStyle w:val="Style"/>
              <w:ind w:left="0" w:right="0" w:firstLine="0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>
              <w:rPr>
                <w:b/>
                <w:color w:val="333333"/>
                <w:sz w:val="22"/>
                <w:szCs w:val="22"/>
                <w:lang w:val="ru-RU"/>
              </w:rPr>
              <w:t xml:space="preserve">PERMIT </w:t>
            </w:r>
          </w:p>
          <w:p w:rsidR="001B237A" w:rsidRDefault="00896B00">
            <w:pPr>
              <w:pStyle w:val="Style"/>
              <w:ind w:left="0" w:right="0" w:firstLine="0"/>
              <w:jc w:val="center"/>
            </w:pPr>
            <w:r>
              <w:rPr>
                <w:b/>
                <w:color w:val="333333"/>
                <w:sz w:val="16"/>
                <w:szCs w:val="16"/>
                <w:lang w:val="en-GB"/>
              </w:rPr>
              <w:t xml:space="preserve">FOR IMPLEMENTATION OF ACTIVITIES ON CONFORMITY ASSESSMENT </w:t>
            </w:r>
          </w:p>
          <w:p w:rsidR="001B237A" w:rsidRDefault="00896B00">
            <w:pPr>
              <w:pStyle w:val="Style"/>
              <w:ind w:left="0" w:right="0" w:firstLine="0"/>
              <w:jc w:val="center"/>
            </w:pPr>
            <w:r>
              <w:rPr>
                <w:b/>
                <w:color w:val="333333"/>
                <w:sz w:val="16"/>
                <w:szCs w:val="16"/>
                <w:lang w:val="ru-RU"/>
              </w:rPr>
              <w:t>OF A SUBSYTEM OR A PART OF IT WITH THE REQUIREMENTS OF THE NATIONAL SAFETY RULES OR THE TECHNICAL RULES</w:t>
            </w:r>
          </w:p>
        </w:tc>
      </w:tr>
      <w:tr w:rsidR="001B237A">
        <w:trPr>
          <w:trHeight w:val="108"/>
        </w:trPr>
        <w:tc>
          <w:tcPr>
            <w:tcW w:w="11038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1B237A">
            <w:pPr>
              <w:pStyle w:val="Style"/>
              <w:ind w:left="0" w:right="0" w:firstLine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1B237A">
        <w:tc>
          <w:tcPr>
            <w:tcW w:w="11038" w:type="dxa"/>
            <w:gridSpan w:val="4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b/>
                <w:sz w:val="22"/>
                <w:szCs w:val="22"/>
              </w:rPr>
              <w:t xml:space="preserve">1. Страна, издаваща Разрешението / </w:t>
            </w:r>
            <w:r w:rsidRPr="0069752E">
              <w:rPr>
                <w:b/>
                <w:color w:val="333333"/>
                <w:sz w:val="22"/>
                <w:szCs w:val="22"/>
                <w:lang w:val="en-US"/>
              </w:rPr>
              <w:t>Permit issuing authority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  <w:r w:rsidRPr="0069752E">
              <w:rPr>
                <w:sz w:val="22"/>
                <w:szCs w:val="22"/>
              </w:rPr>
              <w:t xml:space="preserve">Издаваща страна: Република България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 w:rsidP="0069752E">
            <w:pPr>
              <w:pStyle w:val="Style"/>
              <w:ind w:left="0" w:right="0" w:firstLine="0"/>
              <w:jc w:val="left"/>
            </w:pPr>
            <w:r>
              <w:rPr>
                <w:rFonts w:ascii="Wingdings 2" w:eastAsia="Wingdings 2" w:hAnsi="Wingdings 2" w:cs="Wingdings 2"/>
                <w:sz w:val="22"/>
                <w:szCs w:val="22"/>
                <w:lang w:val="ru-RU"/>
              </w:rPr>
              <w:t></w:t>
            </w:r>
            <w:r w:rsidR="0069752E">
              <w:rPr>
                <w:sz w:val="22"/>
                <w:szCs w:val="22"/>
                <w:lang w:val="ru-RU"/>
              </w:rPr>
              <w:t xml:space="preserve">Ново разрешение  </w:t>
            </w:r>
            <w:r w:rsidR="009E3A51">
              <w:rPr>
                <w:rFonts w:ascii="Wingdings 2" w:eastAsia="Wingdings 2" w:hAnsi="Wingdings 2" w:cs="Wingdings 2"/>
                <w:sz w:val="22"/>
                <w:szCs w:val="22"/>
                <w:lang w:val="ru-RU"/>
              </w:rPr>
              <w:t></w:t>
            </w:r>
            <w:r w:rsidRPr="0069752E">
              <w:rPr>
                <w:sz w:val="22"/>
                <w:szCs w:val="22"/>
              </w:rPr>
              <w:t>Разрешение, съдържащо изменения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en-GB"/>
              </w:rPr>
            </w:pPr>
            <w:r>
              <w:rPr>
                <w:color w:val="333333"/>
                <w:sz w:val="22"/>
                <w:szCs w:val="22"/>
                <w:lang w:val="en-GB"/>
              </w:rPr>
              <w:t>Issuing state: Republic of Bulgaria</w:t>
            </w:r>
          </w:p>
        </w:tc>
        <w:tc>
          <w:tcPr>
            <w:tcW w:w="568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 w:rsidP="0069752E">
            <w:pPr>
              <w:pStyle w:val="Style"/>
              <w:ind w:left="0" w:right="0" w:firstLine="0"/>
              <w:jc w:val="left"/>
            </w:pPr>
            <w:r>
              <w:rPr>
                <w:rFonts w:ascii="Wingdings 2" w:eastAsia="Wingdings 2" w:hAnsi="Wingdings 2" w:cs="Wingdings 2"/>
                <w:sz w:val="22"/>
                <w:szCs w:val="22"/>
                <w:lang w:val="ru-RU"/>
              </w:rPr>
              <w:t></w:t>
            </w:r>
            <w:r>
              <w:rPr>
                <w:color w:val="333333"/>
                <w:sz w:val="22"/>
                <w:szCs w:val="22"/>
                <w:lang w:val="en-GB"/>
              </w:rPr>
              <w:t xml:space="preserve"> New permit    </w:t>
            </w:r>
            <w:r w:rsidR="0069752E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US"/>
              </w:rPr>
              <w:t xml:space="preserve">    </w:t>
            </w:r>
            <w:r>
              <w:rPr>
                <w:color w:val="333333"/>
                <w:sz w:val="22"/>
                <w:szCs w:val="22"/>
                <w:lang w:val="en-GB"/>
              </w:rPr>
              <w:t></w:t>
            </w:r>
            <w:r w:rsidR="0069752E">
              <w:rPr>
                <w:rFonts w:ascii="Wingdings 2" w:eastAsia="Wingdings 2" w:hAnsi="Wingdings 2" w:cs="Wingdings 2"/>
                <w:sz w:val="22"/>
                <w:szCs w:val="22"/>
                <w:lang w:val="ru-RU"/>
              </w:rPr>
              <w:t></w:t>
            </w:r>
            <w:r w:rsidR="0069752E">
              <w:rPr>
                <w:color w:val="333333"/>
                <w:sz w:val="22"/>
                <w:szCs w:val="22"/>
                <w:lang w:val="en-GB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GB"/>
              </w:rPr>
              <w:t>Amended permit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8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 w:rsidP="00A63C77">
            <w:pPr>
              <w:pStyle w:val="Style"/>
              <w:ind w:left="0" w:right="0" w:firstLine="0"/>
              <w:jc w:val="left"/>
            </w:pPr>
            <w:r>
              <w:rPr>
                <w:sz w:val="22"/>
                <w:szCs w:val="22"/>
              </w:rPr>
              <w:t>Национално разрешение № 00……/</w:t>
            </w:r>
            <w:r w:rsidRPr="00A63C77">
              <w:rPr>
                <w:sz w:val="22"/>
                <w:szCs w:val="22"/>
              </w:rPr>
              <w:t>год.</w:t>
            </w:r>
            <w:r w:rsidR="00A63C77">
              <w:rPr>
                <w:sz w:val="22"/>
                <w:szCs w:val="22"/>
              </w:rPr>
              <w:t>,</w:t>
            </w:r>
            <w:r w:rsidRPr="00A63C77">
              <w:rPr>
                <w:sz w:val="22"/>
                <w:szCs w:val="22"/>
              </w:rPr>
              <w:t xml:space="preserve"> изменящо Национално разрешение № 00...../год.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sz w:val="22"/>
                <w:szCs w:val="22"/>
              </w:rPr>
              <w:t xml:space="preserve">Данни за решението: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 w:rsidP="0069752E">
            <w:pPr>
              <w:pStyle w:val="Style"/>
              <w:ind w:left="0" w:right="0" w:firstLine="0"/>
              <w:jc w:val="left"/>
            </w:pPr>
            <w:r>
              <w:rPr>
                <w:color w:val="333333"/>
                <w:sz w:val="22"/>
                <w:szCs w:val="22"/>
                <w:lang w:val="en-US"/>
              </w:rPr>
              <w:t>National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US"/>
              </w:rPr>
              <w:t>permit</w:t>
            </w:r>
            <w:r>
              <w:rPr>
                <w:color w:val="333333"/>
                <w:sz w:val="22"/>
                <w:szCs w:val="22"/>
              </w:rPr>
              <w:t xml:space="preserve"> № 00…..</w:t>
            </w:r>
            <w:r w:rsidRPr="00A63C77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13EC70" wp14:editId="1B6258D6">
                  <wp:simplePos x="0" y="0"/>
                  <wp:positionH relativeFrom="column">
                    <wp:posOffset>591817</wp:posOffset>
                  </wp:positionH>
                  <wp:positionV relativeFrom="paragraph">
                    <wp:posOffset>111127</wp:posOffset>
                  </wp:positionV>
                  <wp:extent cx="6115049" cy="5226052"/>
                  <wp:effectExtent l="0" t="0" r="0" b="0"/>
                  <wp:wrapNone/>
                  <wp:docPr id="1" name="Picture 1" descr="ger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49" cy="522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63C77">
              <w:rPr>
                <w:color w:val="333333"/>
                <w:sz w:val="22"/>
                <w:szCs w:val="22"/>
              </w:rPr>
              <w:t>,</w:t>
            </w:r>
            <w:r w:rsidRPr="00A63C77">
              <w:rPr>
                <w:sz w:val="22"/>
                <w:szCs w:val="22"/>
                <w:lang w:val="en-US"/>
              </w:rPr>
              <w:t>amending</w:t>
            </w:r>
            <w:proofErr w:type="gramEnd"/>
            <w:r w:rsidRPr="00A63C77">
              <w:rPr>
                <w:sz w:val="22"/>
                <w:szCs w:val="22"/>
              </w:rPr>
              <w:t xml:space="preserve"> </w:t>
            </w:r>
            <w:r w:rsidR="0069752E">
              <w:rPr>
                <w:sz w:val="22"/>
                <w:szCs w:val="22"/>
                <w:lang w:val="en-US"/>
              </w:rPr>
              <w:t>N</w:t>
            </w:r>
            <w:r w:rsidRPr="00A63C77">
              <w:rPr>
                <w:sz w:val="22"/>
                <w:szCs w:val="22"/>
                <w:lang w:val="en-US"/>
              </w:rPr>
              <w:t>ational</w:t>
            </w:r>
            <w:r w:rsidRPr="00A63C77">
              <w:rPr>
                <w:sz w:val="22"/>
                <w:szCs w:val="22"/>
              </w:rPr>
              <w:t xml:space="preserve"> </w:t>
            </w:r>
            <w:r w:rsidRPr="00A63C77">
              <w:rPr>
                <w:sz w:val="22"/>
                <w:szCs w:val="22"/>
                <w:lang w:val="en-US"/>
              </w:rPr>
              <w:t>permit</w:t>
            </w:r>
            <w:r w:rsidRPr="00A63C77">
              <w:rPr>
                <w:sz w:val="22"/>
                <w:szCs w:val="22"/>
              </w:rPr>
              <w:t xml:space="preserve"> № …. </w:t>
            </w:r>
          </w:p>
        </w:tc>
        <w:tc>
          <w:tcPr>
            <w:tcW w:w="5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69752E">
              <w:rPr>
                <w:color w:val="333333"/>
                <w:sz w:val="22"/>
                <w:szCs w:val="22"/>
                <w:lang w:val="en-US"/>
              </w:rPr>
              <w:t xml:space="preserve">Decision </w:t>
            </w:r>
            <w:r w:rsidR="0069752E" w:rsidRPr="0069752E">
              <w:rPr>
                <w:color w:val="333333"/>
                <w:sz w:val="22"/>
                <w:szCs w:val="22"/>
                <w:lang w:val="en-US"/>
              </w:rPr>
              <w:t>data</w:t>
            </w:r>
            <w:r w:rsidRPr="0069752E">
              <w:rPr>
                <w:color w:val="333333"/>
                <w:sz w:val="22"/>
                <w:szCs w:val="22"/>
                <w:lang w:val="en-US"/>
              </w:rPr>
              <w:t xml:space="preserve">: 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Приложимо </w:t>
            </w:r>
            <w:r w:rsidRPr="0069752E">
              <w:rPr>
                <w:sz w:val="22"/>
                <w:szCs w:val="22"/>
              </w:rPr>
              <w:t>законодателство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Закон за </w:t>
            </w:r>
            <w:r w:rsidRPr="0069752E">
              <w:rPr>
                <w:sz w:val="22"/>
                <w:szCs w:val="22"/>
              </w:rPr>
              <w:t>железопътния</w:t>
            </w:r>
            <w:r>
              <w:rPr>
                <w:sz w:val="22"/>
                <w:szCs w:val="22"/>
                <w:lang w:val="ru-RU"/>
              </w:rPr>
              <w:t xml:space="preserve"> транспорт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en-US"/>
              </w:rPr>
            </w:pPr>
            <w:r w:rsidRPr="0069752E">
              <w:rPr>
                <w:color w:val="333333"/>
                <w:sz w:val="22"/>
                <w:szCs w:val="22"/>
                <w:lang w:val="en-US"/>
              </w:rPr>
              <w:t>Applicable legislation</w:t>
            </w:r>
          </w:p>
        </w:tc>
        <w:tc>
          <w:tcPr>
            <w:tcW w:w="5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 w:rsidP="0069752E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en-US"/>
              </w:rPr>
            </w:pPr>
            <w:r w:rsidRPr="0069752E">
              <w:rPr>
                <w:color w:val="333333"/>
                <w:sz w:val="22"/>
                <w:szCs w:val="22"/>
                <w:lang w:val="en-US"/>
              </w:rPr>
              <w:t xml:space="preserve">Railway transport </w:t>
            </w:r>
            <w:r w:rsidR="0069752E" w:rsidRPr="0069752E">
              <w:rPr>
                <w:color w:val="333333"/>
                <w:sz w:val="22"/>
                <w:szCs w:val="22"/>
                <w:lang w:val="en-US"/>
              </w:rPr>
              <w:t>law</w:t>
            </w:r>
          </w:p>
        </w:tc>
      </w:tr>
      <w:tr w:rsidR="001B237A">
        <w:trPr>
          <w:trHeight w:val="607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  <w:r w:rsidRPr="0069752E">
              <w:rPr>
                <w:sz w:val="22"/>
                <w:szCs w:val="22"/>
              </w:rPr>
              <w:t xml:space="preserve">Орган, издаващ разрешението: </w:t>
            </w:r>
          </w:p>
          <w:p w:rsidR="001B237A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i/>
                <w:sz w:val="22"/>
                <w:szCs w:val="22"/>
              </w:rPr>
              <w:t>Министър на транспорта, информационните технологии и съобщенията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тел: 02/9409 428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en-US"/>
              </w:rPr>
            </w:pPr>
            <w:r w:rsidRPr="0069752E">
              <w:rPr>
                <w:color w:val="333333"/>
                <w:sz w:val="22"/>
                <w:szCs w:val="22"/>
                <w:lang w:val="en-US"/>
              </w:rPr>
              <w:t xml:space="preserve">Permit issuing authority: </w:t>
            </w:r>
          </w:p>
          <w:p w:rsidR="001B237A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i/>
                <w:color w:val="333333"/>
                <w:sz w:val="22"/>
                <w:szCs w:val="22"/>
                <w:lang w:val="en-US"/>
              </w:rPr>
              <w:t>The Minister of transport, information technology and communications</w:t>
            </w:r>
          </w:p>
        </w:tc>
        <w:tc>
          <w:tcPr>
            <w:tcW w:w="5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13E8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ru-RU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phone</w:t>
            </w:r>
            <w:r w:rsidR="00896B00" w:rsidRPr="00813E80">
              <w:rPr>
                <w:color w:val="333333"/>
                <w:sz w:val="22"/>
                <w:szCs w:val="22"/>
                <w:lang w:val="en-US"/>
              </w:rPr>
              <w:t xml:space="preserve">: </w:t>
            </w:r>
            <w:r w:rsidR="00896B00">
              <w:rPr>
                <w:color w:val="333333"/>
                <w:sz w:val="22"/>
                <w:szCs w:val="22"/>
                <w:lang w:val="ru-RU"/>
              </w:rPr>
              <w:t>+3592/9409 428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sz w:val="22"/>
                <w:szCs w:val="22"/>
              </w:rPr>
              <w:t>Пощенски</w:t>
            </w:r>
            <w:r>
              <w:rPr>
                <w:sz w:val="22"/>
                <w:szCs w:val="22"/>
                <w:lang w:val="ru-RU"/>
              </w:rPr>
              <w:t xml:space="preserve"> адрес: ул. </w:t>
            </w:r>
            <w:r>
              <w:rPr>
                <w:sz w:val="22"/>
                <w:szCs w:val="22"/>
                <w:lang w:val="en-GB"/>
              </w:rPr>
              <w:t>“</w:t>
            </w:r>
            <w:proofErr w:type="spellStart"/>
            <w:r>
              <w:rPr>
                <w:sz w:val="22"/>
                <w:szCs w:val="22"/>
                <w:lang w:val="ru-RU"/>
              </w:rPr>
              <w:t>Дякон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Игнатий</w:t>
            </w:r>
            <w:r>
              <w:rPr>
                <w:sz w:val="22"/>
                <w:szCs w:val="22"/>
                <w:lang w:val="en-GB"/>
              </w:rPr>
              <w:t xml:space="preserve">” № 9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>
              <w:rPr>
                <w:sz w:val="22"/>
                <w:szCs w:val="22"/>
                <w:lang w:val="ru-RU"/>
              </w:rPr>
              <w:t xml:space="preserve">Факс: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  <w:lang w:val="ru-RU"/>
              </w:rPr>
              <w:t xml:space="preserve"> 02/9876 769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>
              <w:rPr>
                <w:color w:val="333333"/>
                <w:sz w:val="22"/>
                <w:szCs w:val="22"/>
                <w:lang w:val="en-GB"/>
              </w:rPr>
              <w:t>Post address:      9, D</w:t>
            </w:r>
            <w:r>
              <w:rPr>
                <w:color w:val="333333"/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color w:val="333333"/>
                <w:sz w:val="22"/>
                <w:szCs w:val="22"/>
                <w:lang w:val="en-GB"/>
              </w:rPr>
              <w:t>akon</w:t>
            </w:r>
            <w:proofErr w:type="spellEnd"/>
            <w:r>
              <w:rPr>
                <w:color w:val="333333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  <w:lang w:val="en-GB"/>
              </w:rPr>
              <w:t>Ignatiy</w:t>
            </w:r>
            <w:proofErr w:type="spellEnd"/>
            <w:r>
              <w:rPr>
                <w:color w:val="333333"/>
                <w:sz w:val="22"/>
                <w:szCs w:val="22"/>
                <w:lang w:val="en-GB"/>
              </w:rPr>
              <w:t xml:space="preserve"> str.</w:t>
            </w:r>
          </w:p>
        </w:tc>
        <w:tc>
          <w:tcPr>
            <w:tcW w:w="5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color w:val="333333"/>
                <w:sz w:val="22"/>
                <w:szCs w:val="22"/>
                <w:lang w:val="en-US"/>
              </w:rPr>
              <w:t>Fax:</w:t>
            </w:r>
            <w:r>
              <w:rPr>
                <w:color w:val="333333"/>
                <w:sz w:val="22"/>
                <w:szCs w:val="22"/>
                <w:lang w:val="ru-RU"/>
              </w:rPr>
              <w:t xml:space="preserve">  +3592/9876 769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 w:rsidRPr="0069752E">
              <w:rPr>
                <w:sz w:val="22"/>
                <w:szCs w:val="22"/>
              </w:rPr>
              <w:t xml:space="preserve">Пощенски </w:t>
            </w:r>
            <w:r>
              <w:rPr>
                <w:sz w:val="22"/>
                <w:szCs w:val="22"/>
                <w:lang w:val="ru-RU"/>
              </w:rPr>
              <w:t xml:space="preserve">код и град:1000 </w:t>
            </w:r>
            <w:r>
              <w:rPr>
                <w:sz w:val="22"/>
                <w:szCs w:val="22"/>
              </w:rPr>
              <w:t xml:space="preserve">гр. </w:t>
            </w:r>
            <w:r>
              <w:rPr>
                <w:sz w:val="22"/>
                <w:szCs w:val="22"/>
                <w:lang w:val="ru-RU"/>
              </w:rPr>
              <w:t>София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>
                <w:rPr>
                  <w:rStyle w:val="Hyperlink"/>
                  <w:szCs w:val="22"/>
                </w:rPr>
                <w:t>iaja@mtitc.government.bg</w:t>
              </w:r>
            </w:hyperlink>
            <w:r>
              <w:rPr>
                <w:sz w:val="22"/>
                <w:szCs w:val="22"/>
                <w:lang w:val="de-DE"/>
              </w:rPr>
              <w:t xml:space="preserve"> 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>
              <w:rPr>
                <w:color w:val="333333"/>
                <w:sz w:val="22"/>
                <w:szCs w:val="22"/>
                <w:lang w:val="en-GB"/>
              </w:rPr>
              <w:t xml:space="preserve">Post </w:t>
            </w:r>
            <w:r>
              <w:rPr>
                <w:color w:val="333333"/>
                <w:sz w:val="22"/>
                <w:szCs w:val="22"/>
                <w:lang w:val="en-US"/>
              </w:rPr>
              <w:t>c</w:t>
            </w:r>
            <w:r>
              <w:rPr>
                <w:color w:val="333333"/>
                <w:sz w:val="22"/>
                <w:szCs w:val="22"/>
                <w:lang w:val="en-GB"/>
              </w:rPr>
              <w:t xml:space="preserve">ode and city:     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GB"/>
              </w:rPr>
              <w:t>1000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lang w:val="en-GB"/>
              </w:rPr>
              <w:t xml:space="preserve"> Sofia city</w:t>
            </w:r>
          </w:p>
        </w:tc>
        <w:tc>
          <w:tcPr>
            <w:tcW w:w="5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  <w:lang w:val="en-US"/>
              </w:rPr>
              <w:t xml:space="preserve">web: </w:t>
            </w:r>
            <w:hyperlink r:id="rId9" w:history="1">
              <w:r>
                <w:rPr>
                  <w:rStyle w:val="Hyperlink"/>
                  <w:color w:val="333333"/>
                  <w:szCs w:val="22"/>
                  <w:lang w:val="ru-RU"/>
                </w:rPr>
                <w:t>www.mtitc.government.bg</w:t>
              </w:r>
            </w:hyperlink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B237A">
        <w:trPr>
          <w:trHeight w:val="111"/>
        </w:trPr>
        <w:tc>
          <w:tcPr>
            <w:tcW w:w="1103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1B237A" w:rsidRPr="0069752E">
        <w:tc>
          <w:tcPr>
            <w:tcW w:w="1103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69752E" w:rsidRDefault="00896B00">
            <w:pPr>
              <w:pStyle w:val="Style"/>
              <w:ind w:left="0" w:right="0" w:firstLine="0"/>
              <w:jc w:val="left"/>
              <w:rPr>
                <w:b/>
                <w:sz w:val="22"/>
                <w:szCs w:val="22"/>
              </w:rPr>
            </w:pPr>
            <w:r w:rsidRPr="0069752E">
              <w:rPr>
                <w:b/>
                <w:sz w:val="22"/>
                <w:szCs w:val="22"/>
              </w:rPr>
              <w:t xml:space="preserve">2.  Притежател на разрешението / </w:t>
            </w:r>
            <w:r w:rsidRPr="0069752E">
              <w:rPr>
                <w:b/>
                <w:sz w:val="22"/>
                <w:szCs w:val="22"/>
                <w:lang w:val="en-US"/>
              </w:rPr>
              <w:t>Permit holder</w:t>
            </w:r>
            <w:r w:rsidRPr="0069752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Default="001B237A">
            <w:pPr>
              <w:pStyle w:val="Style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568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B237A" w:rsidRDefault="00896B00">
            <w:pPr>
              <w:pStyle w:val="Style"/>
              <w:ind w:left="0" w:right="0" w:firstLine="0"/>
              <w:jc w:val="left"/>
            </w:pPr>
            <w:r>
              <w:rPr>
                <w:sz w:val="22"/>
                <w:szCs w:val="22"/>
                <w:lang w:val="ru-RU"/>
              </w:rPr>
              <w:t>тел:            02/</w:t>
            </w:r>
          </w:p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813E80">
              <w:rPr>
                <w:sz w:val="22"/>
                <w:szCs w:val="22"/>
                <w:lang w:val="en-US"/>
              </w:rPr>
              <w:t>phone: +3592/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 xml:space="preserve">Пощенски адрес: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>Факс:      02/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813E80">
              <w:rPr>
                <w:color w:val="333333"/>
                <w:sz w:val="22"/>
                <w:szCs w:val="22"/>
                <w:lang w:val="en-US"/>
              </w:rPr>
              <w:t xml:space="preserve">Post address: </w:t>
            </w:r>
          </w:p>
        </w:tc>
        <w:tc>
          <w:tcPr>
            <w:tcW w:w="5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 w:rsidRPr="00813E80">
              <w:rPr>
                <w:color w:val="333333"/>
                <w:sz w:val="22"/>
                <w:szCs w:val="22"/>
                <w:lang w:val="en-US"/>
              </w:rPr>
              <w:t>Fax:  +3592</w:t>
            </w:r>
            <w:r w:rsidRPr="00813E80">
              <w:rPr>
                <w:color w:val="333333"/>
                <w:sz w:val="22"/>
                <w:szCs w:val="22"/>
              </w:rPr>
              <w:t>/</w:t>
            </w:r>
          </w:p>
        </w:tc>
      </w:tr>
      <w:tr w:rsidR="001B237A"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 xml:space="preserve">Пощенски код и град: </w:t>
            </w: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>e</w:t>
            </w:r>
            <w:r w:rsidRPr="00813E80">
              <w:rPr>
                <w:sz w:val="22"/>
                <w:szCs w:val="22"/>
                <w:lang w:val="en-US"/>
              </w:rPr>
              <w:t>-mail: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  <w:lang w:val="en-US"/>
              </w:rPr>
            </w:pPr>
            <w:r w:rsidRPr="00813E80">
              <w:rPr>
                <w:color w:val="333333"/>
                <w:sz w:val="22"/>
                <w:szCs w:val="22"/>
                <w:lang w:val="en-US"/>
              </w:rPr>
              <w:t xml:space="preserve">Post code and city:        </w:t>
            </w:r>
          </w:p>
        </w:tc>
        <w:tc>
          <w:tcPr>
            <w:tcW w:w="5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  <w:r w:rsidRPr="00813E80">
              <w:rPr>
                <w:sz w:val="22"/>
                <w:szCs w:val="22"/>
              </w:rPr>
              <w:t xml:space="preserve"> 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  <w:r w:rsidRPr="00813E80">
              <w:rPr>
                <w:sz w:val="22"/>
                <w:szCs w:val="22"/>
              </w:rPr>
              <w:t xml:space="preserve">Единен идентификационен код: </w:t>
            </w:r>
          </w:p>
        </w:tc>
        <w:tc>
          <w:tcPr>
            <w:tcW w:w="568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813E80">
              <w:rPr>
                <w:color w:val="333333"/>
                <w:sz w:val="22"/>
                <w:szCs w:val="22"/>
                <w:lang w:val="en-US"/>
              </w:rPr>
              <w:t xml:space="preserve">Unified Identical Code: </w:t>
            </w:r>
          </w:p>
        </w:tc>
        <w:tc>
          <w:tcPr>
            <w:tcW w:w="56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1B237A">
        <w:tc>
          <w:tcPr>
            <w:tcW w:w="1103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1B237A">
        <w:tc>
          <w:tcPr>
            <w:tcW w:w="1103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b/>
                <w:sz w:val="22"/>
                <w:szCs w:val="22"/>
              </w:rPr>
            </w:pPr>
            <w:r w:rsidRPr="00813E80">
              <w:rPr>
                <w:b/>
                <w:sz w:val="22"/>
                <w:szCs w:val="22"/>
              </w:rPr>
              <w:t xml:space="preserve">3. Обхват на разрешението / </w:t>
            </w:r>
            <w:proofErr w:type="spellStart"/>
            <w:r w:rsidRPr="00813E80">
              <w:rPr>
                <w:b/>
                <w:sz w:val="22"/>
                <w:szCs w:val="22"/>
              </w:rPr>
              <w:t>Cover</w:t>
            </w:r>
            <w:proofErr w:type="spellEnd"/>
            <w:r w:rsidRPr="00813E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3E80">
              <w:rPr>
                <w:b/>
                <w:sz w:val="22"/>
                <w:szCs w:val="22"/>
              </w:rPr>
              <w:t>range</w:t>
            </w:r>
            <w:proofErr w:type="spellEnd"/>
            <w:r w:rsidRPr="00813E80">
              <w:rPr>
                <w:b/>
                <w:sz w:val="22"/>
                <w:szCs w:val="22"/>
              </w:rPr>
              <w:t>:</w:t>
            </w: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tabs>
                <w:tab w:val="left" w:pos="1800"/>
              </w:tabs>
              <w:ind w:left="0" w:right="0" w:firstLine="0"/>
              <w:jc w:val="left"/>
            </w:pPr>
            <w:r w:rsidRPr="00813E80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813E80">
              <w:rPr>
                <w:sz w:val="22"/>
                <w:szCs w:val="22"/>
              </w:rPr>
              <w:t xml:space="preserve"> подсистеми  </w:t>
            </w:r>
            <w:r w:rsidRPr="00813E80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813E80">
              <w:rPr>
                <w:rFonts w:ascii="Wingdings 2" w:hAnsi="Wingdings 2"/>
                <w:sz w:val="22"/>
                <w:szCs w:val="22"/>
              </w:rPr>
              <w:t></w:t>
            </w:r>
            <w:r w:rsidRPr="00813E80">
              <w:rPr>
                <w:sz w:val="22"/>
                <w:szCs w:val="22"/>
              </w:rPr>
              <w:t>част от подсистема</w:t>
            </w:r>
          </w:p>
        </w:tc>
        <w:tc>
          <w:tcPr>
            <w:tcW w:w="568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1B237A">
        <w:tc>
          <w:tcPr>
            <w:tcW w:w="5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  <w:rPr>
                <w:lang w:val="en-US"/>
              </w:rPr>
            </w:pPr>
            <w:r w:rsidRPr="00813E80">
              <w:rPr>
                <w:rFonts w:ascii="Wingdings 2" w:eastAsia="Wingdings 2" w:hAnsi="Wingdings 2" w:cs="Wingdings 2"/>
                <w:sz w:val="22"/>
                <w:szCs w:val="22"/>
                <w:lang w:val="en-US"/>
              </w:rPr>
              <w:t>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 xml:space="preserve">  subsystems  </w:t>
            </w:r>
            <w:r w:rsidRPr="00813E80">
              <w:rPr>
                <w:rFonts w:ascii="Wingdings 2" w:eastAsia="Wingdings 2" w:hAnsi="Wingdings 2" w:cs="Wingdings 2"/>
                <w:color w:val="333333"/>
                <w:sz w:val="22"/>
                <w:szCs w:val="22"/>
                <w:lang w:val="en-US"/>
              </w:rPr>
              <w:t></w:t>
            </w:r>
            <w:r w:rsidRPr="00813E80">
              <w:rPr>
                <w:rFonts w:ascii="Wingdings 2" w:hAnsi="Wingdings 2"/>
                <w:color w:val="333333"/>
                <w:sz w:val="22"/>
                <w:szCs w:val="22"/>
                <w:lang w:val="en-US"/>
              </w:rPr>
              <w:t>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>a part of subsystem</w:t>
            </w:r>
          </w:p>
        </w:tc>
        <w:tc>
          <w:tcPr>
            <w:tcW w:w="568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1B237A">
        <w:tc>
          <w:tcPr>
            <w:tcW w:w="1103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b/>
                <w:sz w:val="22"/>
                <w:szCs w:val="22"/>
              </w:rPr>
              <w:t xml:space="preserve">4.  Валидност / </w:t>
            </w:r>
            <w:r w:rsidRPr="00813E80">
              <w:rPr>
                <w:b/>
                <w:sz w:val="22"/>
                <w:szCs w:val="22"/>
                <w:lang w:val="en-US"/>
              </w:rPr>
              <w:t>Validity</w:t>
            </w:r>
          </w:p>
        </w:tc>
      </w:tr>
      <w:tr w:rsidR="001B237A">
        <w:trPr>
          <w:trHeight w:val="259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 xml:space="preserve">Валидно от </w:t>
            </w:r>
            <w:r w:rsidRPr="00813E80">
              <w:rPr>
                <w:color w:val="333333"/>
                <w:sz w:val="22"/>
                <w:szCs w:val="22"/>
              </w:rPr>
              <w:t>/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>Valid from:</w:t>
            </w:r>
            <w:r w:rsidRPr="00813E80">
              <w:rPr>
                <w:color w:val="333333"/>
                <w:sz w:val="22"/>
                <w:szCs w:val="22"/>
              </w:rPr>
              <w:t xml:space="preserve">   </w:t>
            </w:r>
            <w:r w:rsidRPr="00813E8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>Отнето на:</w:t>
            </w:r>
            <w:r w:rsidRPr="00813E80">
              <w:rPr>
                <w:color w:val="333333"/>
                <w:sz w:val="22"/>
                <w:szCs w:val="22"/>
              </w:rPr>
              <w:t xml:space="preserve"> /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>Withdrawn on:</w:t>
            </w:r>
          </w:p>
        </w:tc>
      </w:tr>
      <w:tr w:rsidR="001B237A">
        <w:trPr>
          <w:trHeight w:val="156"/>
        </w:trPr>
        <w:tc>
          <w:tcPr>
            <w:tcW w:w="1103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1B237A">
        <w:tc>
          <w:tcPr>
            <w:tcW w:w="1103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b/>
                <w:sz w:val="22"/>
                <w:szCs w:val="22"/>
              </w:rPr>
              <w:t xml:space="preserve">5. Описание на измененията: / </w:t>
            </w:r>
            <w:r w:rsidRPr="00813E80">
              <w:rPr>
                <w:b/>
                <w:color w:val="333333"/>
                <w:sz w:val="22"/>
                <w:szCs w:val="22"/>
                <w:lang w:val="en-US"/>
              </w:rPr>
              <w:t>Description of amendments</w:t>
            </w:r>
            <w:r w:rsidRPr="00813E80">
              <w:rPr>
                <w:b/>
                <w:color w:val="333333"/>
                <w:sz w:val="22"/>
                <w:szCs w:val="22"/>
              </w:rPr>
              <w:t>:</w:t>
            </w:r>
          </w:p>
        </w:tc>
      </w:tr>
      <w:tr w:rsidR="001B237A">
        <w:tc>
          <w:tcPr>
            <w:tcW w:w="1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</w:p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</w:p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</w:p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1B237A">
        <w:trPr>
          <w:trHeight w:val="542"/>
        </w:trPr>
        <w:tc>
          <w:tcPr>
            <w:tcW w:w="1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firstLine="0"/>
            </w:pPr>
            <w:r w:rsidRPr="00813E80">
              <w:rPr>
                <w:sz w:val="18"/>
                <w:szCs w:val="18"/>
              </w:rPr>
              <w:t>Разрешението се издава на основание чл. 115б, ал. 2 от Закона за железопътния транспорт.</w:t>
            </w:r>
          </w:p>
          <w:p w:rsidR="001B237A" w:rsidRPr="00813E80" w:rsidRDefault="00896B00">
            <w:pPr>
              <w:pStyle w:val="Style"/>
              <w:ind w:left="0" w:firstLine="0"/>
              <w:rPr>
                <w:sz w:val="18"/>
                <w:szCs w:val="18"/>
              </w:rPr>
            </w:pPr>
            <w:r w:rsidRPr="00813E80">
              <w:rPr>
                <w:sz w:val="18"/>
                <w:szCs w:val="18"/>
              </w:rPr>
              <w:t>Разрешението се отнема и правата, произтичащи от него, се прекратяват в случаите по чл. 115б, ал. 8 и чл. 118 на Закона за железопътния транспорт.</w:t>
            </w:r>
          </w:p>
          <w:p w:rsidR="001B237A" w:rsidRPr="00813E80" w:rsidRDefault="00896B00">
            <w:pPr>
              <w:pStyle w:val="Style"/>
              <w:ind w:left="0" w:firstLine="0"/>
              <w:rPr>
                <w:lang w:val="en-US"/>
              </w:rPr>
            </w:pPr>
            <w:r w:rsidRPr="00813E80">
              <w:rPr>
                <w:color w:val="333333"/>
                <w:sz w:val="18"/>
                <w:szCs w:val="18"/>
                <w:lang w:val="en-US"/>
              </w:rPr>
              <w:t>The permit is issued in accordance with article 115 “б” § 2 of the Railway transport law.</w:t>
            </w:r>
          </w:p>
          <w:p w:rsidR="001B237A" w:rsidRPr="00813E80" w:rsidRDefault="00896B00">
            <w:pPr>
              <w:pStyle w:val="Style"/>
              <w:ind w:left="0" w:firstLine="0"/>
            </w:pPr>
            <w:r w:rsidRPr="00813E80">
              <w:rPr>
                <w:color w:val="333333"/>
                <w:sz w:val="18"/>
                <w:szCs w:val="18"/>
                <w:lang w:val="en-US"/>
              </w:rPr>
              <w:t>The permit shall be withdrawn and the rights pursuant to it shall be cancelled in case of breaches of the provisions under art. 115 “б” § 8 and art. 118 of the Railway transport law.</w:t>
            </w:r>
          </w:p>
        </w:tc>
      </w:tr>
      <w:tr w:rsidR="001B237A">
        <w:tc>
          <w:tcPr>
            <w:tcW w:w="1103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1B237A">
        <w:tc>
          <w:tcPr>
            <w:tcW w:w="4680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58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 xml:space="preserve">Подпис: / 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>Signature:</w:t>
            </w:r>
          </w:p>
        </w:tc>
      </w:tr>
      <w:tr w:rsidR="001B237A">
        <w:trPr>
          <w:trHeight w:val="313"/>
        </w:trPr>
        <w:tc>
          <w:tcPr>
            <w:tcW w:w="4680" w:type="dxa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1B237A">
            <w:pPr>
              <w:pStyle w:val="Style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58" w:type="dxa"/>
            <w:gridSpan w:val="3"/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1B237A" w:rsidRPr="00813E80" w:rsidRDefault="00896B00">
            <w:pPr>
              <w:pStyle w:val="Style"/>
              <w:ind w:left="0" w:right="0" w:firstLine="0"/>
              <w:jc w:val="left"/>
            </w:pPr>
            <w:r w:rsidRPr="00813E80">
              <w:rPr>
                <w:sz w:val="22"/>
                <w:szCs w:val="22"/>
              </w:rPr>
              <w:t xml:space="preserve">Име:      / </w:t>
            </w:r>
            <w:r w:rsidRPr="00813E80">
              <w:rPr>
                <w:color w:val="333333"/>
                <w:sz w:val="22"/>
                <w:szCs w:val="22"/>
                <w:lang w:val="en-US"/>
              </w:rPr>
              <w:t>Name:</w:t>
            </w:r>
            <w:r w:rsidRPr="00813E80">
              <w:rPr>
                <w:sz w:val="22"/>
                <w:szCs w:val="22"/>
              </w:rPr>
              <w:t xml:space="preserve">     </w:t>
            </w:r>
          </w:p>
        </w:tc>
      </w:tr>
    </w:tbl>
    <w:p w:rsidR="001B237A" w:rsidRDefault="001B237A">
      <w:pPr>
        <w:pStyle w:val="BodyTextIndent"/>
        <w:ind w:left="0"/>
        <w:jc w:val="both"/>
      </w:pPr>
    </w:p>
    <w:p w:rsidR="00916612" w:rsidRDefault="00916612" w:rsidP="00916612">
      <w:pPr>
        <w:autoSpaceDE w:val="0"/>
        <w:spacing w:before="60" w:after="60"/>
        <w:ind w:firstLine="708"/>
        <w:jc w:val="center"/>
        <w:rPr>
          <w:rFonts w:ascii="EUAlbertina" w:hAnsi="EUAlbertina"/>
          <w:b/>
        </w:rPr>
      </w:pPr>
      <w:r>
        <w:rPr>
          <w:rFonts w:ascii="EUAlbertina" w:hAnsi="EUAlbertina"/>
          <w:b/>
        </w:rPr>
        <w:lastRenderedPageBreak/>
        <w:t>Допълнителна разпоредба</w:t>
      </w:r>
    </w:p>
    <w:p w:rsidR="00916612" w:rsidRDefault="00916612" w:rsidP="00916612">
      <w:pPr>
        <w:autoSpaceDE w:val="0"/>
        <w:spacing w:before="60" w:after="60"/>
        <w:ind w:firstLine="708"/>
        <w:jc w:val="both"/>
        <w:rPr>
          <w:rFonts w:ascii="EUAlbertina" w:hAnsi="EUAlbertina" w:hint="eastAsia"/>
        </w:rPr>
      </w:pPr>
      <w:r>
        <w:rPr>
          <w:rFonts w:ascii="EUAlbertina" w:hAnsi="EUAlbertina"/>
          <w:b/>
        </w:rPr>
        <w:t>§ 1</w:t>
      </w:r>
      <w:r>
        <w:rPr>
          <w:rFonts w:ascii="EUAlbertina" w:hAnsi="EUAlbertina"/>
          <w:b/>
        </w:rPr>
        <w:t>0</w:t>
      </w:r>
      <w:r>
        <w:rPr>
          <w:rFonts w:ascii="EUAlbertina" w:hAnsi="EUAlbertina"/>
          <w:b/>
        </w:rPr>
        <w:t xml:space="preserve">. </w:t>
      </w:r>
      <w:r>
        <w:rPr>
          <w:rFonts w:ascii="EUAlbertina" w:hAnsi="EUAlbertina"/>
        </w:rPr>
        <w:t xml:space="preserve">Наредбата въвежда изискванията на </w:t>
      </w:r>
      <w:r>
        <w:t>Директива 2014/38/ЕС на Комисията</w:t>
      </w:r>
      <w:r>
        <w:rPr>
          <w:lang w:val="ru-RU"/>
        </w:rPr>
        <w:t xml:space="preserve"> </w:t>
      </w:r>
      <w:r>
        <w:t>от 10 март 2014 година</w:t>
      </w:r>
      <w:r>
        <w:rPr>
          <w:lang w:val="ru-RU"/>
        </w:rPr>
        <w:t xml:space="preserve"> </w:t>
      </w:r>
      <w:r>
        <w:rPr>
          <w:rFonts w:ascii="EUAlbertina" w:hAnsi="EUAlbertina"/>
        </w:rPr>
        <w:t>за изменение на приложение III към Директива 2008/57/ЕО на Европейския парламент и на Съвета по отношение на нивото на допустимо шумово замърсяване (</w:t>
      </w:r>
      <w:r>
        <w:rPr>
          <w:rFonts w:ascii="EUAlbertina" w:hAnsi="EUAlbertina"/>
          <w:lang w:val="en-US"/>
        </w:rPr>
        <w:t>OB</w:t>
      </w:r>
      <w:r>
        <w:rPr>
          <w:rFonts w:ascii="EUAlbertina" w:hAnsi="EUAlbertina"/>
        </w:rPr>
        <w:t xml:space="preserve">, </w:t>
      </w:r>
      <w:r>
        <w:rPr>
          <w:rFonts w:ascii="EUAlbertina" w:hAnsi="EUAlbertina"/>
          <w:lang w:val="en-US"/>
        </w:rPr>
        <w:t>L</w:t>
      </w:r>
      <w:r>
        <w:rPr>
          <w:rFonts w:ascii="EUAlbertina" w:hAnsi="EUAlbertina"/>
        </w:rPr>
        <w:t xml:space="preserve"> </w:t>
      </w:r>
      <w:r>
        <w:rPr>
          <w:rFonts w:ascii="EUAlbertina" w:hAnsi="EUAlbertina"/>
          <w:lang w:val="ru-RU"/>
        </w:rPr>
        <w:t>70</w:t>
      </w:r>
      <w:r>
        <w:rPr>
          <w:rFonts w:ascii="EUAlbertina" w:hAnsi="EUAlbertina"/>
        </w:rPr>
        <w:t xml:space="preserve"> от 201</w:t>
      </w:r>
      <w:r>
        <w:rPr>
          <w:rFonts w:ascii="EUAlbertina" w:hAnsi="EUAlbertina"/>
          <w:lang w:val="ru-RU"/>
        </w:rPr>
        <w:t>4</w:t>
      </w:r>
      <w:r>
        <w:rPr>
          <w:rFonts w:ascii="EUAlbertina" w:hAnsi="EUAlbertina"/>
        </w:rPr>
        <w:t xml:space="preserve"> г.).</w:t>
      </w:r>
    </w:p>
    <w:p w:rsidR="001B237A" w:rsidRDefault="001B237A">
      <w:pPr>
        <w:ind w:firstLine="480"/>
        <w:jc w:val="both"/>
      </w:pPr>
    </w:p>
    <w:p w:rsidR="001B237A" w:rsidRDefault="00916612" w:rsidP="00916612">
      <w:pPr>
        <w:widowControl w:val="0"/>
        <w:autoSpaceDE w:val="0"/>
        <w:ind w:right="23"/>
        <w:jc w:val="center"/>
        <w:rPr>
          <w:b/>
          <w:bCs/>
        </w:rPr>
      </w:pPr>
      <w:r>
        <w:rPr>
          <w:b/>
          <w:bCs/>
        </w:rPr>
        <w:t>Заключителна разпоредба</w:t>
      </w:r>
    </w:p>
    <w:p w:rsidR="001B237A" w:rsidRDefault="001B237A">
      <w:pPr>
        <w:widowControl w:val="0"/>
        <w:autoSpaceDE w:val="0"/>
        <w:ind w:right="23"/>
        <w:jc w:val="both"/>
        <w:rPr>
          <w:b/>
          <w:bCs/>
        </w:rPr>
      </w:pPr>
    </w:p>
    <w:p w:rsidR="001B237A" w:rsidRPr="00A63C77" w:rsidRDefault="0027340C">
      <w:pPr>
        <w:widowControl w:val="0"/>
        <w:autoSpaceDE w:val="0"/>
        <w:ind w:right="23" w:firstLine="708"/>
        <w:jc w:val="both"/>
      </w:pPr>
      <w:r>
        <w:rPr>
          <w:b/>
          <w:bCs/>
        </w:rPr>
        <w:t xml:space="preserve">§ </w:t>
      </w:r>
      <w:r w:rsidR="00916612">
        <w:rPr>
          <w:b/>
          <w:bCs/>
        </w:rPr>
        <w:t>11</w:t>
      </w:r>
      <w:r w:rsidR="00896B00">
        <w:rPr>
          <w:b/>
          <w:bCs/>
        </w:rPr>
        <w:t xml:space="preserve">. </w:t>
      </w:r>
      <w:r w:rsidR="00896B00">
        <w:rPr>
          <w:bCs/>
        </w:rPr>
        <w:t>Наредбата влиза в сила от 1 януари 2015 г.</w:t>
      </w:r>
      <w:r w:rsidR="00C81DB3">
        <w:rPr>
          <w:bCs/>
        </w:rPr>
        <w:t xml:space="preserve"> </w:t>
      </w:r>
      <w:r w:rsidR="00C81DB3" w:rsidRPr="00A63C77">
        <w:rPr>
          <w:bCs/>
        </w:rPr>
        <w:t>с изключение на § 5</w:t>
      </w:r>
      <w:r w:rsidR="00916612">
        <w:rPr>
          <w:bCs/>
        </w:rPr>
        <w:t xml:space="preserve"> относно</w:t>
      </w:r>
      <w:r w:rsidR="00916612" w:rsidRPr="00916612">
        <w:t xml:space="preserve"> </w:t>
      </w:r>
      <w:r w:rsidR="00916612" w:rsidRPr="00916612">
        <w:rPr>
          <w:bCs/>
        </w:rPr>
        <w:t>чл. 52, ал. 1, т. 7</w:t>
      </w:r>
      <w:r w:rsidR="00C81DB3" w:rsidRPr="00A63C77">
        <w:rPr>
          <w:bCs/>
        </w:rPr>
        <w:t>, който влиза в сила от 21 май 2015 г.</w:t>
      </w:r>
    </w:p>
    <w:p w:rsidR="001B237A" w:rsidRDefault="001B237A">
      <w:pPr>
        <w:autoSpaceDE w:val="0"/>
        <w:spacing w:before="60" w:after="60"/>
        <w:ind w:firstLine="708"/>
        <w:jc w:val="both"/>
        <w:rPr>
          <w:rFonts w:ascii="EUAlbertina" w:hAnsi="EUAlbertina" w:hint="eastAsia"/>
          <w:b/>
        </w:rPr>
      </w:pPr>
    </w:p>
    <w:p w:rsidR="00DC0EB0" w:rsidRDefault="00DC0EB0">
      <w:pPr>
        <w:autoSpaceDE w:val="0"/>
        <w:spacing w:before="60" w:after="60"/>
        <w:ind w:firstLine="708"/>
        <w:jc w:val="both"/>
        <w:rPr>
          <w:rFonts w:ascii="EUAlbertina" w:hAnsi="EUAlbertina" w:hint="eastAsia"/>
        </w:rPr>
      </w:pPr>
    </w:p>
    <w:p w:rsidR="000906A2" w:rsidRDefault="000906A2">
      <w:pPr>
        <w:autoSpaceDE w:val="0"/>
        <w:spacing w:before="60" w:after="60"/>
        <w:ind w:firstLine="708"/>
        <w:jc w:val="both"/>
        <w:rPr>
          <w:rFonts w:ascii="EUAlbertina" w:hAnsi="EUAlbertina" w:hint="eastAsia"/>
        </w:rPr>
      </w:pPr>
    </w:p>
    <w:p w:rsidR="000906A2" w:rsidRDefault="000906A2">
      <w:pPr>
        <w:autoSpaceDE w:val="0"/>
        <w:spacing w:before="60" w:after="60"/>
        <w:ind w:firstLine="708"/>
        <w:jc w:val="both"/>
        <w:rPr>
          <w:rFonts w:ascii="EUAlbertina" w:hAnsi="EUAlbertina" w:hint="eastAsia"/>
        </w:rPr>
      </w:pPr>
    </w:p>
    <w:p w:rsidR="000906A2" w:rsidRDefault="000906A2">
      <w:pPr>
        <w:autoSpaceDE w:val="0"/>
        <w:spacing w:before="60" w:after="60"/>
        <w:ind w:firstLine="708"/>
        <w:jc w:val="both"/>
        <w:rPr>
          <w:rFonts w:ascii="EUAlbertina" w:hAnsi="EUAlbertina" w:hint="eastAsia"/>
        </w:rPr>
      </w:pPr>
    </w:p>
    <w:p w:rsidR="000906A2" w:rsidRPr="00452AFB" w:rsidRDefault="000906A2" w:rsidP="000906A2">
      <w:pPr>
        <w:jc w:val="both"/>
        <w:rPr>
          <w:b/>
          <w:iCs/>
        </w:rPr>
      </w:pPr>
      <w:r w:rsidRPr="00452AFB">
        <w:rPr>
          <w:b/>
          <w:iCs/>
        </w:rPr>
        <w:t>Ивайло Московски</w:t>
      </w:r>
    </w:p>
    <w:p w:rsidR="000906A2" w:rsidRDefault="000906A2" w:rsidP="000906A2">
      <w:pPr>
        <w:jc w:val="both"/>
        <w:rPr>
          <w:i/>
          <w:iCs/>
        </w:rPr>
      </w:pPr>
      <w:r w:rsidRPr="00452AFB">
        <w:rPr>
          <w:i/>
          <w:iCs/>
        </w:rPr>
        <w:t xml:space="preserve">Министър на транспорта, </w:t>
      </w:r>
    </w:p>
    <w:p w:rsidR="000906A2" w:rsidRPr="00452AFB" w:rsidRDefault="000906A2" w:rsidP="000906A2">
      <w:pPr>
        <w:jc w:val="both"/>
        <w:rPr>
          <w:i/>
          <w:iCs/>
        </w:rPr>
      </w:pPr>
      <w:r w:rsidRPr="00452AFB">
        <w:rPr>
          <w:i/>
          <w:iCs/>
        </w:rPr>
        <w:t>информационните технологии и съобщенията</w:t>
      </w:r>
    </w:p>
    <w:p w:rsidR="005D5DE0" w:rsidRDefault="005D5DE0">
      <w:pPr>
        <w:autoSpaceDE w:val="0"/>
        <w:spacing w:before="60" w:after="60"/>
        <w:ind w:firstLine="708"/>
        <w:jc w:val="both"/>
      </w:pPr>
    </w:p>
    <w:p w:rsidR="000906A2" w:rsidRPr="00916612" w:rsidRDefault="000906A2" w:rsidP="000906A2">
      <w:pPr>
        <w:autoSpaceDE w:val="0"/>
        <w:spacing w:before="60" w:after="60"/>
        <w:jc w:val="both"/>
        <w:rPr>
          <w:b/>
          <w:sz w:val="20"/>
          <w:szCs w:val="20"/>
        </w:rPr>
      </w:pPr>
      <w:r w:rsidRPr="00916612">
        <w:rPr>
          <w:b/>
          <w:sz w:val="20"/>
          <w:szCs w:val="20"/>
        </w:rPr>
        <w:t>Съгласувано с:</w:t>
      </w:r>
    </w:p>
    <w:p w:rsidR="000906A2" w:rsidRPr="00916612" w:rsidRDefault="000906A2">
      <w:pPr>
        <w:autoSpaceDE w:val="0"/>
        <w:spacing w:before="60" w:after="60"/>
        <w:ind w:firstLine="708"/>
        <w:jc w:val="both"/>
        <w:rPr>
          <w:b/>
          <w:sz w:val="20"/>
          <w:szCs w:val="20"/>
        </w:rPr>
      </w:pPr>
    </w:p>
    <w:p w:rsidR="000906A2" w:rsidRPr="00916612" w:rsidRDefault="000906A2">
      <w:pPr>
        <w:autoSpaceDE w:val="0"/>
        <w:spacing w:before="60" w:after="60"/>
        <w:ind w:firstLine="708"/>
        <w:jc w:val="both"/>
        <w:rPr>
          <w:b/>
          <w:sz w:val="20"/>
          <w:szCs w:val="20"/>
        </w:rPr>
      </w:pPr>
    </w:p>
    <w:p w:rsidR="000906A2" w:rsidRPr="00916612" w:rsidRDefault="000906A2" w:rsidP="000906A2">
      <w:pPr>
        <w:rPr>
          <w:b/>
          <w:sz w:val="20"/>
          <w:szCs w:val="20"/>
        </w:rPr>
      </w:pPr>
      <w:r w:rsidRPr="00916612">
        <w:rPr>
          <w:b/>
          <w:sz w:val="20"/>
          <w:szCs w:val="20"/>
        </w:rPr>
        <w:t>Антон Гинев</w:t>
      </w:r>
    </w:p>
    <w:p w:rsidR="000906A2" w:rsidRPr="00916612" w:rsidRDefault="000906A2" w:rsidP="000906A2">
      <w:pPr>
        <w:rPr>
          <w:i/>
          <w:sz w:val="20"/>
          <w:szCs w:val="20"/>
        </w:rPr>
      </w:pPr>
      <w:r w:rsidRPr="00916612">
        <w:rPr>
          <w:i/>
          <w:sz w:val="20"/>
          <w:szCs w:val="20"/>
        </w:rPr>
        <w:t>Заместник-министър на транспорта,</w:t>
      </w:r>
    </w:p>
    <w:p w:rsidR="000906A2" w:rsidRPr="00916612" w:rsidRDefault="000906A2" w:rsidP="000906A2">
      <w:pPr>
        <w:rPr>
          <w:i/>
          <w:sz w:val="20"/>
          <w:szCs w:val="20"/>
        </w:rPr>
      </w:pPr>
      <w:r w:rsidRPr="00916612">
        <w:rPr>
          <w:i/>
          <w:sz w:val="20"/>
          <w:szCs w:val="20"/>
        </w:rPr>
        <w:t>информационните технологии и съобщенията</w:t>
      </w:r>
    </w:p>
    <w:p w:rsidR="000906A2" w:rsidRPr="00916612" w:rsidRDefault="000906A2" w:rsidP="000906A2">
      <w:pPr>
        <w:rPr>
          <w:b/>
          <w:i/>
          <w:sz w:val="20"/>
          <w:szCs w:val="20"/>
        </w:rPr>
      </w:pPr>
    </w:p>
    <w:p w:rsidR="000906A2" w:rsidRPr="00916612" w:rsidRDefault="000906A2" w:rsidP="000906A2">
      <w:pPr>
        <w:rPr>
          <w:b/>
          <w:sz w:val="20"/>
          <w:szCs w:val="20"/>
        </w:rPr>
      </w:pPr>
    </w:p>
    <w:p w:rsidR="000906A2" w:rsidRPr="00916612" w:rsidRDefault="000906A2" w:rsidP="000906A2">
      <w:pPr>
        <w:rPr>
          <w:b/>
          <w:sz w:val="20"/>
          <w:szCs w:val="20"/>
        </w:rPr>
      </w:pPr>
    </w:p>
    <w:p w:rsidR="000906A2" w:rsidRPr="00916612" w:rsidRDefault="000906A2" w:rsidP="000906A2">
      <w:pPr>
        <w:rPr>
          <w:b/>
          <w:sz w:val="20"/>
          <w:szCs w:val="20"/>
        </w:rPr>
      </w:pPr>
    </w:p>
    <w:p w:rsidR="000906A2" w:rsidRPr="00916612" w:rsidRDefault="000906A2" w:rsidP="000906A2">
      <w:pPr>
        <w:jc w:val="both"/>
        <w:rPr>
          <w:b/>
          <w:sz w:val="20"/>
          <w:szCs w:val="20"/>
        </w:rPr>
      </w:pPr>
      <w:r w:rsidRPr="00916612">
        <w:rPr>
          <w:b/>
          <w:sz w:val="20"/>
          <w:szCs w:val="20"/>
        </w:rPr>
        <w:t xml:space="preserve">Иван Марков </w:t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>Красимира Стоянова</w:t>
      </w:r>
    </w:p>
    <w:p w:rsidR="000906A2" w:rsidRPr="00916612" w:rsidRDefault="000906A2" w:rsidP="000906A2">
      <w:pPr>
        <w:jc w:val="both"/>
        <w:rPr>
          <w:i/>
          <w:sz w:val="20"/>
          <w:szCs w:val="20"/>
        </w:rPr>
      </w:pPr>
      <w:r w:rsidRPr="00916612">
        <w:rPr>
          <w:i/>
          <w:sz w:val="20"/>
          <w:szCs w:val="20"/>
        </w:rPr>
        <w:t>Главен секретар на МТИТС</w:t>
      </w:r>
      <w:r w:rsidRPr="00916612">
        <w:rPr>
          <w:i/>
          <w:sz w:val="20"/>
          <w:szCs w:val="20"/>
        </w:rPr>
        <w:tab/>
      </w:r>
      <w:r w:rsidRPr="00916612">
        <w:rPr>
          <w:i/>
          <w:sz w:val="20"/>
          <w:szCs w:val="20"/>
        </w:rPr>
        <w:tab/>
      </w:r>
      <w:r w:rsidRPr="00916612">
        <w:rPr>
          <w:i/>
          <w:sz w:val="20"/>
          <w:szCs w:val="20"/>
        </w:rPr>
        <w:tab/>
      </w:r>
      <w:r w:rsidRPr="00916612">
        <w:rPr>
          <w:i/>
          <w:sz w:val="20"/>
          <w:szCs w:val="20"/>
        </w:rPr>
        <w:tab/>
      </w:r>
      <w:r w:rsidR="00916612">
        <w:rPr>
          <w:i/>
          <w:sz w:val="20"/>
          <w:szCs w:val="20"/>
        </w:rPr>
        <w:t>Д</w:t>
      </w:r>
      <w:r w:rsidRPr="00916612">
        <w:rPr>
          <w:i/>
          <w:sz w:val="20"/>
          <w:szCs w:val="20"/>
        </w:rPr>
        <w:t xml:space="preserve">иректор на Дирекция „Правна“ </w:t>
      </w:r>
      <w:bookmarkStart w:id="0" w:name="_GoBack"/>
      <w:bookmarkEnd w:id="0"/>
    </w:p>
    <w:p w:rsidR="000906A2" w:rsidRPr="00916612" w:rsidRDefault="000906A2" w:rsidP="000906A2">
      <w:pPr>
        <w:jc w:val="both"/>
        <w:rPr>
          <w:i/>
          <w:sz w:val="20"/>
          <w:szCs w:val="20"/>
        </w:rPr>
      </w:pPr>
    </w:p>
    <w:p w:rsidR="000906A2" w:rsidRPr="00916612" w:rsidRDefault="000906A2" w:rsidP="000906A2">
      <w:pPr>
        <w:jc w:val="both"/>
        <w:rPr>
          <w:i/>
          <w:sz w:val="20"/>
          <w:szCs w:val="20"/>
        </w:rPr>
      </w:pPr>
    </w:p>
    <w:p w:rsidR="000906A2" w:rsidRPr="00916612" w:rsidRDefault="000906A2" w:rsidP="000906A2">
      <w:pPr>
        <w:jc w:val="both"/>
        <w:rPr>
          <w:i/>
          <w:sz w:val="20"/>
          <w:szCs w:val="20"/>
        </w:rPr>
      </w:pPr>
    </w:p>
    <w:p w:rsidR="000906A2" w:rsidRPr="00916612" w:rsidRDefault="000906A2" w:rsidP="000906A2">
      <w:pPr>
        <w:jc w:val="both"/>
        <w:rPr>
          <w:b/>
          <w:sz w:val="20"/>
          <w:szCs w:val="20"/>
        </w:rPr>
      </w:pPr>
      <w:r w:rsidRPr="00916612">
        <w:rPr>
          <w:b/>
          <w:sz w:val="20"/>
          <w:szCs w:val="20"/>
        </w:rPr>
        <w:t>Надежда Бухова</w:t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</w:r>
      <w:r w:rsidRPr="00916612">
        <w:rPr>
          <w:b/>
          <w:sz w:val="20"/>
          <w:szCs w:val="20"/>
        </w:rPr>
        <w:tab/>
        <w:t>Веселин Василев</w:t>
      </w:r>
    </w:p>
    <w:p w:rsidR="000906A2" w:rsidRPr="00916612" w:rsidRDefault="000906A2" w:rsidP="000906A2">
      <w:pPr>
        <w:autoSpaceDE w:val="0"/>
        <w:jc w:val="both"/>
        <w:rPr>
          <w:b/>
          <w:sz w:val="20"/>
          <w:szCs w:val="20"/>
        </w:rPr>
      </w:pPr>
      <w:r w:rsidRPr="00916612">
        <w:rPr>
          <w:i/>
          <w:sz w:val="20"/>
          <w:szCs w:val="20"/>
        </w:rPr>
        <w:t>Дир</w:t>
      </w:r>
      <w:r w:rsidR="00916612">
        <w:rPr>
          <w:i/>
          <w:sz w:val="20"/>
          <w:szCs w:val="20"/>
        </w:rPr>
        <w:t xml:space="preserve">ектор на Дирекция „ЕКМС“ </w:t>
      </w:r>
      <w:r w:rsidRPr="00916612">
        <w:rPr>
          <w:i/>
          <w:sz w:val="20"/>
          <w:szCs w:val="20"/>
        </w:rPr>
        <w:tab/>
      </w:r>
      <w:r w:rsidRPr="00916612">
        <w:rPr>
          <w:i/>
          <w:sz w:val="20"/>
          <w:szCs w:val="20"/>
        </w:rPr>
        <w:tab/>
      </w:r>
      <w:r w:rsidR="00916612">
        <w:rPr>
          <w:i/>
          <w:sz w:val="20"/>
          <w:szCs w:val="20"/>
        </w:rPr>
        <w:tab/>
      </w:r>
      <w:r w:rsidRPr="00916612">
        <w:rPr>
          <w:i/>
          <w:sz w:val="20"/>
          <w:szCs w:val="20"/>
        </w:rPr>
        <w:t>Изпълнителен директор на ИА „ЖА</w:t>
      </w:r>
      <w:r w:rsidR="00916612">
        <w:rPr>
          <w:i/>
          <w:sz w:val="20"/>
          <w:szCs w:val="20"/>
        </w:rPr>
        <w:t>“</w:t>
      </w:r>
    </w:p>
    <w:sectPr w:rsidR="000906A2" w:rsidRPr="00916612">
      <w:footerReference w:type="default" r:id="rId10"/>
      <w:pgSz w:w="11906" w:h="16838"/>
      <w:pgMar w:top="709" w:right="1417" w:bottom="70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48" w:rsidRDefault="00D60848">
      <w:r>
        <w:separator/>
      </w:r>
    </w:p>
  </w:endnote>
  <w:endnote w:type="continuationSeparator" w:id="0">
    <w:p w:rsidR="00D60848" w:rsidRDefault="00D6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58" w:rsidRDefault="00896B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16612">
      <w:rPr>
        <w:noProof/>
      </w:rPr>
      <w:t>2</w:t>
    </w:r>
    <w:r>
      <w:fldChar w:fldCharType="end"/>
    </w:r>
  </w:p>
  <w:p w:rsidR="00527D58" w:rsidRDefault="00D6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48" w:rsidRDefault="00D60848">
      <w:r>
        <w:rPr>
          <w:color w:val="000000"/>
        </w:rPr>
        <w:separator/>
      </w:r>
    </w:p>
  </w:footnote>
  <w:footnote w:type="continuationSeparator" w:id="0">
    <w:p w:rsidR="00D60848" w:rsidRDefault="00D6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6675"/>
    <w:multiLevelType w:val="hybridMultilevel"/>
    <w:tmpl w:val="5BC4D38A"/>
    <w:lvl w:ilvl="0" w:tplc="12C8D1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0482F"/>
    <w:multiLevelType w:val="hybridMultilevel"/>
    <w:tmpl w:val="CC208EF6"/>
    <w:lvl w:ilvl="0" w:tplc="8070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35B"/>
    <w:multiLevelType w:val="hybridMultilevel"/>
    <w:tmpl w:val="24005D0C"/>
    <w:lvl w:ilvl="0" w:tplc="DF4AA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DB27D3"/>
    <w:multiLevelType w:val="hybridMultilevel"/>
    <w:tmpl w:val="B1CAFE7A"/>
    <w:lvl w:ilvl="0" w:tplc="F774CB6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723A4"/>
    <w:multiLevelType w:val="hybridMultilevel"/>
    <w:tmpl w:val="B128FE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2D1B"/>
    <w:multiLevelType w:val="hybridMultilevel"/>
    <w:tmpl w:val="EE26E796"/>
    <w:lvl w:ilvl="0" w:tplc="984E79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2653B"/>
    <w:multiLevelType w:val="hybridMultilevel"/>
    <w:tmpl w:val="1D22F102"/>
    <w:lvl w:ilvl="0" w:tplc="8070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D22E6"/>
    <w:multiLevelType w:val="hybridMultilevel"/>
    <w:tmpl w:val="1374A0D0"/>
    <w:lvl w:ilvl="0" w:tplc="263C4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761C43"/>
    <w:multiLevelType w:val="hybridMultilevel"/>
    <w:tmpl w:val="B40A73AA"/>
    <w:lvl w:ilvl="0" w:tplc="048E08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FC515E"/>
    <w:multiLevelType w:val="hybridMultilevel"/>
    <w:tmpl w:val="4B380DE4"/>
    <w:lvl w:ilvl="0" w:tplc="CFEE7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8A57A0"/>
    <w:multiLevelType w:val="hybridMultilevel"/>
    <w:tmpl w:val="41A60A7C"/>
    <w:lvl w:ilvl="0" w:tplc="9B56D2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37A"/>
    <w:rsid w:val="000115AF"/>
    <w:rsid w:val="00046626"/>
    <w:rsid w:val="00072A75"/>
    <w:rsid w:val="000906A2"/>
    <w:rsid w:val="00110223"/>
    <w:rsid w:val="001B237A"/>
    <w:rsid w:val="00201747"/>
    <w:rsid w:val="00234D47"/>
    <w:rsid w:val="00263D03"/>
    <w:rsid w:val="0027340C"/>
    <w:rsid w:val="00283C5E"/>
    <w:rsid w:val="002F7368"/>
    <w:rsid w:val="003212BC"/>
    <w:rsid w:val="003E7013"/>
    <w:rsid w:val="00425EF7"/>
    <w:rsid w:val="004E4464"/>
    <w:rsid w:val="004E7FD1"/>
    <w:rsid w:val="0054044A"/>
    <w:rsid w:val="005B65C9"/>
    <w:rsid w:val="005C6F94"/>
    <w:rsid w:val="005D5DE0"/>
    <w:rsid w:val="00641D96"/>
    <w:rsid w:val="0066039A"/>
    <w:rsid w:val="0069752E"/>
    <w:rsid w:val="00710BE2"/>
    <w:rsid w:val="007223BF"/>
    <w:rsid w:val="00762589"/>
    <w:rsid w:val="00773974"/>
    <w:rsid w:val="007849C0"/>
    <w:rsid w:val="007B4B94"/>
    <w:rsid w:val="00813E80"/>
    <w:rsid w:val="00843C78"/>
    <w:rsid w:val="008834A7"/>
    <w:rsid w:val="00896B00"/>
    <w:rsid w:val="008E3CA3"/>
    <w:rsid w:val="00916612"/>
    <w:rsid w:val="00945DA7"/>
    <w:rsid w:val="0099498A"/>
    <w:rsid w:val="009C1EC3"/>
    <w:rsid w:val="009E33BE"/>
    <w:rsid w:val="009E3A51"/>
    <w:rsid w:val="00A17373"/>
    <w:rsid w:val="00A443B2"/>
    <w:rsid w:val="00A63C77"/>
    <w:rsid w:val="00A86B1B"/>
    <w:rsid w:val="00AC3EBC"/>
    <w:rsid w:val="00B05213"/>
    <w:rsid w:val="00B4068E"/>
    <w:rsid w:val="00B96B98"/>
    <w:rsid w:val="00C2649F"/>
    <w:rsid w:val="00C32E28"/>
    <w:rsid w:val="00C70D80"/>
    <w:rsid w:val="00C81DB3"/>
    <w:rsid w:val="00CB6B77"/>
    <w:rsid w:val="00CD4569"/>
    <w:rsid w:val="00CE5004"/>
    <w:rsid w:val="00CE68C9"/>
    <w:rsid w:val="00D43AEE"/>
    <w:rsid w:val="00D60848"/>
    <w:rsid w:val="00D946B6"/>
    <w:rsid w:val="00DC0EB0"/>
    <w:rsid w:val="00DF538D"/>
    <w:rsid w:val="00E83466"/>
    <w:rsid w:val="00E9703C"/>
    <w:rsid w:val="00E970FE"/>
    <w:rsid w:val="00EF5378"/>
    <w:rsid w:val="00F25E75"/>
    <w:rsid w:val="00F57005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ED13A-D5BB-438D-9C54-972023C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pPr>
      <w:autoSpaceDE w:val="0"/>
    </w:pPr>
    <w:rPr>
      <w:rFonts w:ascii="EUAlbertina" w:hAnsi="EUAlbertina"/>
      <w:lang w:val="en-US" w:eastAsia="en-US"/>
    </w:rPr>
  </w:style>
  <w:style w:type="paragraph" w:styleId="BodyTextIndent">
    <w:name w:val="Body Text Indent"/>
    <w:basedOn w:val="Normal"/>
    <w:pPr>
      <w:ind w:left="360"/>
    </w:pPr>
    <w:rPr>
      <w:rFonts w:eastAsia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">
    <w:name w:val="Style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68"/>
    <w:rPr>
      <w:rFonts w:ascii="Tahoma" w:eastAsia="SimSu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ja@mtitc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itc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Ivanova</dc:creator>
  <cp:lastModifiedBy>Ilia Jordanov</cp:lastModifiedBy>
  <cp:revision>8</cp:revision>
  <cp:lastPrinted>2014-12-10T08:30:00Z</cp:lastPrinted>
  <dcterms:created xsi:type="dcterms:W3CDTF">2014-12-10T08:34:00Z</dcterms:created>
  <dcterms:modified xsi:type="dcterms:W3CDTF">2014-12-16T08:40:00Z</dcterms:modified>
</cp:coreProperties>
</file>