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457" w:rsidRPr="00763457" w:rsidRDefault="00763457" w:rsidP="00763457">
      <w:pPr>
        <w:ind w:left="360"/>
        <w:jc w:val="right"/>
        <w:rPr>
          <w:b/>
          <w:caps/>
          <w:lang w:eastAsia="en-US"/>
        </w:rPr>
      </w:pPr>
      <w:r>
        <w:rPr>
          <w:b/>
          <w:lang w:eastAsia="en-US"/>
        </w:rPr>
        <w:t>П</w:t>
      </w:r>
      <w:r w:rsidRPr="00763457">
        <w:rPr>
          <w:b/>
          <w:lang w:eastAsia="en-US"/>
        </w:rPr>
        <w:t>риложение № 1</w:t>
      </w:r>
    </w:p>
    <w:p w:rsidR="00423074" w:rsidRDefault="00423074" w:rsidP="00763457">
      <w:pPr>
        <w:ind w:left="360"/>
        <w:jc w:val="center"/>
        <w:rPr>
          <w:rFonts w:ascii="Times New Roman Bold" w:hAnsi="Times New Roman Bold"/>
          <w:b/>
          <w:caps/>
          <w:lang w:val="en-US" w:eastAsia="en-US"/>
        </w:rPr>
      </w:pPr>
    </w:p>
    <w:p w:rsidR="00763457" w:rsidRDefault="00763457" w:rsidP="00763457">
      <w:pPr>
        <w:ind w:left="360"/>
        <w:jc w:val="center"/>
        <w:rPr>
          <w:rFonts w:ascii="Times New Roman Bold" w:hAnsi="Times New Roman Bold"/>
          <w:b/>
          <w:caps/>
          <w:lang w:val="en-US" w:eastAsia="en-US"/>
        </w:rPr>
      </w:pPr>
      <w:r w:rsidRPr="00C731BD">
        <w:rPr>
          <w:rFonts w:ascii="Times New Roman Bold" w:hAnsi="Times New Roman Bold"/>
          <w:b/>
          <w:caps/>
          <w:lang w:val="en-US" w:eastAsia="en-US"/>
        </w:rPr>
        <w:t>Техническа спецификация</w:t>
      </w:r>
    </w:p>
    <w:p w:rsidR="00763457" w:rsidRDefault="00763457" w:rsidP="00763457">
      <w:pPr>
        <w:ind w:left="360"/>
        <w:jc w:val="both"/>
        <w:rPr>
          <w:rFonts w:ascii="Times New Roman Bold" w:hAnsi="Times New Roman Bold"/>
          <w:b/>
          <w:caps/>
          <w:lang w:val="en-US" w:eastAsia="en-US"/>
        </w:rPr>
      </w:pPr>
    </w:p>
    <w:p w:rsidR="00763457" w:rsidRPr="00763457" w:rsidRDefault="00763457" w:rsidP="00763457">
      <w:pPr>
        <w:pStyle w:val="ListParagraph"/>
        <w:jc w:val="both"/>
        <w:rPr>
          <w:rFonts w:ascii="Times New Roman Bold" w:hAnsi="Times New Roman Bold"/>
          <w:b/>
          <w:caps/>
          <w:lang w:val="en-US" w:eastAsia="en-US"/>
        </w:rPr>
      </w:pPr>
      <w:r w:rsidRPr="00763457">
        <w:rPr>
          <w:rFonts w:eastAsia="Calibri"/>
          <w:b/>
          <w:color w:val="000000"/>
          <w:lang w:eastAsia="en-US"/>
        </w:rPr>
        <w:t>Описание на наличната Географска информационна система на МТИТС</w:t>
      </w:r>
    </w:p>
    <w:p w:rsidR="00763457" w:rsidRPr="00C731BD" w:rsidRDefault="00763457" w:rsidP="00763457">
      <w:pPr>
        <w:spacing w:before="120" w:after="200" w:line="276" w:lineRule="auto"/>
        <w:ind w:firstLine="708"/>
        <w:jc w:val="both"/>
        <w:rPr>
          <w:rFonts w:eastAsia="Calibri"/>
          <w:color w:val="000000"/>
          <w:lang w:eastAsia="en-US"/>
        </w:rPr>
      </w:pPr>
      <w:r w:rsidRPr="00C731BD">
        <w:rPr>
          <w:rFonts w:eastAsia="Calibri"/>
          <w:color w:val="000000"/>
          <w:lang w:eastAsia="en-US"/>
        </w:rPr>
        <w:t xml:space="preserve">През </w:t>
      </w:r>
      <w:smartTag w:uri="urn:schemas-microsoft-com:office:smarttags" w:element="metricconverter">
        <w:smartTagPr>
          <w:attr w:name="ProductID" w:val="2001 г"/>
        </w:smartTagPr>
        <w:r w:rsidRPr="00C731BD">
          <w:rPr>
            <w:rFonts w:eastAsia="Calibri"/>
            <w:color w:val="000000"/>
            <w:lang w:eastAsia="en-US"/>
          </w:rPr>
          <w:t>2001 г</w:t>
        </w:r>
      </w:smartTag>
      <w:r w:rsidRPr="00C731BD">
        <w:rPr>
          <w:rFonts w:eastAsia="Calibri"/>
          <w:color w:val="000000"/>
          <w:lang w:eastAsia="en-US"/>
        </w:rPr>
        <w:t>. с доставката на оборудването за Ситуационния център на МТИТС е закупена Географската информационна система (ГИС) с цел подпомагане вземането на информирани решения посредством пространствено моделиране, при възникване на кризисни ситуации от военен и невоенен характер. Придоби</w:t>
      </w:r>
      <w:r>
        <w:rPr>
          <w:rFonts w:eastAsia="Calibri"/>
          <w:color w:val="000000"/>
          <w:lang w:eastAsia="en-US"/>
        </w:rPr>
        <w:t>тата ГИС от МТИТС се състои от</w:t>
      </w:r>
      <w:r w:rsidRPr="00C731BD">
        <w:rPr>
          <w:rFonts w:eastAsia="Calibri"/>
          <w:color w:val="000000"/>
          <w:lang w:eastAsia="en-US"/>
        </w:rPr>
        <w:t>:</w:t>
      </w:r>
    </w:p>
    <w:p w:rsidR="00763457" w:rsidRPr="00C731BD" w:rsidRDefault="00763457" w:rsidP="00763457">
      <w:pPr>
        <w:numPr>
          <w:ilvl w:val="0"/>
          <w:numId w:val="2"/>
        </w:numPr>
        <w:spacing w:before="120" w:after="200" w:line="276" w:lineRule="auto"/>
        <w:contextualSpacing/>
        <w:jc w:val="both"/>
        <w:rPr>
          <w:rFonts w:eastAsia="Calibri"/>
          <w:color w:val="000000"/>
          <w:lang w:eastAsia="en-US"/>
        </w:rPr>
      </w:pPr>
      <w:r>
        <w:rPr>
          <w:rFonts w:eastAsia="Calibri"/>
          <w:color w:val="000000"/>
          <w:lang w:eastAsia="en-US"/>
        </w:rPr>
        <w:t xml:space="preserve">Приложен ГИС софтуер за управление при кризи; </w:t>
      </w:r>
    </w:p>
    <w:p w:rsidR="00763457" w:rsidRPr="00C731BD" w:rsidRDefault="00763457" w:rsidP="00763457">
      <w:pPr>
        <w:numPr>
          <w:ilvl w:val="0"/>
          <w:numId w:val="2"/>
        </w:numPr>
        <w:spacing w:before="120" w:after="200" w:line="276" w:lineRule="auto"/>
        <w:contextualSpacing/>
        <w:jc w:val="both"/>
        <w:rPr>
          <w:rFonts w:eastAsia="Calibri"/>
          <w:color w:val="000000"/>
          <w:lang w:eastAsia="en-US"/>
        </w:rPr>
      </w:pPr>
      <w:r w:rsidRPr="00C731BD">
        <w:rPr>
          <w:rFonts w:eastAsia="Calibri"/>
          <w:color w:val="000000"/>
          <w:lang w:eastAsia="en-US"/>
        </w:rPr>
        <w:t xml:space="preserve">ГИС сървърен софтуер </w:t>
      </w:r>
      <w:proofErr w:type="spellStart"/>
      <w:r w:rsidRPr="00C731BD">
        <w:rPr>
          <w:rFonts w:eastAsia="Calibri"/>
          <w:color w:val="000000"/>
          <w:lang w:eastAsia="en-US"/>
        </w:rPr>
        <w:t>ArcGIS</w:t>
      </w:r>
      <w:proofErr w:type="spellEnd"/>
      <w:r w:rsidRPr="00C731BD">
        <w:rPr>
          <w:rFonts w:eastAsia="Calibri"/>
          <w:color w:val="000000"/>
          <w:lang w:eastAsia="en-US"/>
        </w:rPr>
        <w:t xml:space="preserve"> </w:t>
      </w:r>
      <w:proofErr w:type="spellStart"/>
      <w:r w:rsidRPr="00C731BD">
        <w:rPr>
          <w:rFonts w:eastAsia="Calibri"/>
          <w:color w:val="000000"/>
          <w:lang w:eastAsia="en-US"/>
        </w:rPr>
        <w:t>for</w:t>
      </w:r>
      <w:proofErr w:type="spellEnd"/>
      <w:r w:rsidRPr="00C731BD">
        <w:rPr>
          <w:rFonts w:eastAsia="Calibri"/>
          <w:color w:val="000000"/>
          <w:lang w:eastAsia="en-US"/>
        </w:rPr>
        <w:t xml:space="preserve"> Server </w:t>
      </w:r>
      <w:proofErr w:type="spellStart"/>
      <w:r w:rsidRPr="00C731BD">
        <w:rPr>
          <w:rFonts w:eastAsia="Calibri"/>
          <w:color w:val="000000"/>
          <w:lang w:eastAsia="en-US"/>
        </w:rPr>
        <w:t>Workgroup</w:t>
      </w:r>
      <w:proofErr w:type="spellEnd"/>
      <w:r w:rsidRPr="00C731BD">
        <w:rPr>
          <w:rFonts w:eastAsia="Calibri"/>
          <w:color w:val="000000"/>
          <w:lang w:eastAsia="en-US"/>
        </w:rPr>
        <w:t xml:space="preserve"> Standard – 1 бр. лиценз за 2 </w:t>
      </w:r>
      <w:proofErr w:type="spellStart"/>
      <w:r w:rsidRPr="00C731BD">
        <w:rPr>
          <w:rFonts w:eastAsia="Calibri"/>
          <w:color w:val="000000"/>
          <w:lang w:eastAsia="en-US"/>
        </w:rPr>
        <w:t>процесорни</w:t>
      </w:r>
      <w:proofErr w:type="spellEnd"/>
      <w:r w:rsidRPr="00C731BD">
        <w:rPr>
          <w:rFonts w:eastAsia="Calibri"/>
          <w:color w:val="000000"/>
          <w:lang w:eastAsia="en-US"/>
        </w:rPr>
        <w:t xml:space="preserve"> ядра, 10 </w:t>
      </w:r>
      <w:proofErr w:type="spellStart"/>
      <w:r w:rsidRPr="00C731BD">
        <w:rPr>
          <w:rFonts w:eastAsia="Calibri"/>
          <w:color w:val="000000"/>
          <w:lang w:eastAsia="en-US"/>
        </w:rPr>
        <w:t>конекции</w:t>
      </w:r>
      <w:proofErr w:type="spellEnd"/>
      <w:r w:rsidRPr="00C731BD">
        <w:rPr>
          <w:rFonts w:eastAsia="Calibri"/>
          <w:color w:val="000000"/>
          <w:lang w:eastAsia="en-US"/>
        </w:rPr>
        <w:t xml:space="preserve"> и 10 GB данни;</w:t>
      </w:r>
    </w:p>
    <w:p w:rsidR="00763457" w:rsidRDefault="00763457" w:rsidP="00763457">
      <w:pPr>
        <w:numPr>
          <w:ilvl w:val="0"/>
          <w:numId w:val="2"/>
        </w:numPr>
        <w:spacing w:before="120" w:after="200" w:line="276" w:lineRule="auto"/>
        <w:contextualSpacing/>
        <w:jc w:val="both"/>
        <w:rPr>
          <w:rFonts w:eastAsia="Calibri"/>
          <w:color w:val="000000"/>
          <w:lang w:eastAsia="en-US"/>
        </w:rPr>
      </w:pPr>
      <w:r w:rsidRPr="00C731BD">
        <w:rPr>
          <w:rFonts w:eastAsia="Calibri"/>
          <w:color w:val="000000"/>
          <w:lang w:eastAsia="en-US"/>
        </w:rPr>
        <w:t xml:space="preserve">ГИС настолен  редактор </w:t>
      </w:r>
      <w:proofErr w:type="spellStart"/>
      <w:r w:rsidRPr="00C731BD">
        <w:rPr>
          <w:rFonts w:eastAsia="Calibri"/>
          <w:color w:val="000000"/>
          <w:lang w:eastAsia="en-US"/>
        </w:rPr>
        <w:t>ArcGIS</w:t>
      </w:r>
      <w:proofErr w:type="spellEnd"/>
      <w:r w:rsidRPr="00C731BD">
        <w:rPr>
          <w:rFonts w:eastAsia="Calibri"/>
          <w:color w:val="000000"/>
          <w:lang w:eastAsia="en-US"/>
        </w:rPr>
        <w:t xml:space="preserve"> </w:t>
      </w:r>
      <w:proofErr w:type="spellStart"/>
      <w:r w:rsidRPr="00C731BD">
        <w:rPr>
          <w:rFonts w:eastAsia="Calibri"/>
          <w:color w:val="000000"/>
          <w:lang w:eastAsia="en-US"/>
        </w:rPr>
        <w:t>for</w:t>
      </w:r>
      <w:proofErr w:type="spellEnd"/>
      <w:r w:rsidRPr="00C731BD">
        <w:rPr>
          <w:rFonts w:eastAsia="Calibri"/>
          <w:color w:val="000000"/>
          <w:lang w:eastAsia="en-US"/>
        </w:rPr>
        <w:t xml:space="preserve"> </w:t>
      </w:r>
      <w:proofErr w:type="spellStart"/>
      <w:r w:rsidRPr="00C731BD">
        <w:rPr>
          <w:rFonts w:eastAsia="Calibri"/>
          <w:color w:val="000000"/>
          <w:lang w:eastAsia="en-US"/>
        </w:rPr>
        <w:t>Desktop</w:t>
      </w:r>
      <w:proofErr w:type="spellEnd"/>
      <w:r w:rsidRPr="00C731BD">
        <w:rPr>
          <w:rFonts w:eastAsia="Calibri"/>
          <w:color w:val="000000"/>
          <w:lang w:eastAsia="en-US"/>
        </w:rPr>
        <w:t xml:space="preserve"> </w:t>
      </w:r>
      <w:proofErr w:type="spellStart"/>
      <w:r w:rsidRPr="00C731BD">
        <w:rPr>
          <w:rFonts w:eastAsia="Calibri"/>
          <w:color w:val="000000"/>
          <w:lang w:eastAsia="en-US"/>
        </w:rPr>
        <w:t>Basic</w:t>
      </w:r>
      <w:proofErr w:type="spellEnd"/>
      <w:r w:rsidRPr="00C731BD">
        <w:rPr>
          <w:rFonts w:eastAsia="Calibri"/>
          <w:color w:val="000000"/>
          <w:lang w:eastAsia="en-US"/>
        </w:rPr>
        <w:t xml:space="preserve"> (бивше наименование </w:t>
      </w:r>
      <w:r w:rsidRPr="00C731BD">
        <w:rPr>
          <w:rFonts w:eastAsia="Calibri"/>
          <w:color w:val="000000"/>
          <w:lang w:val="en-US" w:eastAsia="en-US"/>
        </w:rPr>
        <w:t>ArcView</w:t>
      </w:r>
      <w:r w:rsidRPr="00C731BD">
        <w:rPr>
          <w:rFonts w:eastAsia="Calibri"/>
          <w:color w:val="000000"/>
          <w:lang w:eastAsia="en-US"/>
        </w:rPr>
        <w:t>);</w:t>
      </w:r>
    </w:p>
    <w:p w:rsidR="00763457" w:rsidRPr="00C731BD" w:rsidRDefault="00763457" w:rsidP="00763457">
      <w:pPr>
        <w:suppressAutoHyphens/>
        <w:jc w:val="both"/>
        <w:rPr>
          <w:rFonts w:eastAsia="Calibri"/>
          <w:color w:val="000000"/>
          <w:lang w:eastAsia="en-US"/>
        </w:rPr>
      </w:pPr>
    </w:p>
    <w:p w:rsidR="00763457" w:rsidRPr="00C731BD" w:rsidRDefault="00763457" w:rsidP="00763457">
      <w:pPr>
        <w:ind w:left="792"/>
        <w:jc w:val="both"/>
        <w:rPr>
          <w:rFonts w:eastAsia="Calibri"/>
          <w:b/>
          <w:color w:val="000000"/>
          <w:lang w:eastAsia="en-US"/>
        </w:rPr>
      </w:pPr>
      <w:r w:rsidRPr="00C731BD">
        <w:rPr>
          <w:rFonts w:eastAsia="Calibri"/>
          <w:b/>
          <w:color w:val="000000"/>
          <w:lang w:eastAsia="en-US"/>
        </w:rPr>
        <w:t xml:space="preserve">Надграждане и развитие на Географска информационна система  на МТИТС </w:t>
      </w:r>
    </w:p>
    <w:p w:rsidR="00763457" w:rsidRPr="00C731BD" w:rsidRDefault="00763457" w:rsidP="00763457">
      <w:pPr>
        <w:jc w:val="both"/>
        <w:rPr>
          <w:rFonts w:eastAsia="Calibri"/>
          <w:color w:val="000000"/>
          <w:lang w:eastAsia="en-US"/>
        </w:rPr>
      </w:pPr>
    </w:p>
    <w:p w:rsidR="00763457" w:rsidRPr="00C731BD" w:rsidRDefault="00763457" w:rsidP="00763457">
      <w:pPr>
        <w:ind w:left="709"/>
        <w:jc w:val="both"/>
        <w:rPr>
          <w:rFonts w:eastAsia="Calibri"/>
          <w:color w:val="000000"/>
          <w:lang w:eastAsia="en-US"/>
        </w:rPr>
      </w:pPr>
      <w:r w:rsidRPr="00C731BD">
        <w:rPr>
          <w:rFonts w:eastAsia="Calibri"/>
          <w:color w:val="000000"/>
          <w:lang w:eastAsia="en-US"/>
        </w:rPr>
        <w:t xml:space="preserve">С цел подобряване готовността на МТИТС за навременна и ефективна реакция в кризисна ситуация от военен и невоенен характер е необходимо закупения базов ГИС софтуер да бъде надграден и развит както следва:  </w:t>
      </w:r>
    </w:p>
    <w:p w:rsidR="00763457" w:rsidRPr="00C731BD" w:rsidRDefault="00763457" w:rsidP="00763457">
      <w:pPr>
        <w:jc w:val="both"/>
        <w:rPr>
          <w:rFonts w:eastAsia="Calibri"/>
          <w:color w:val="000000"/>
          <w:lang w:eastAsia="en-US"/>
        </w:rPr>
      </w:pPr>
    </w:p>
    <w:p w:rsidR="00763457" w:rsidRPr="00763457" w:rsidRDefault="00763457" w:rsidP="00763457">
      <w:pPr>
        <w:pStyle w:val="ListParagraph"/>
        <w:numPr>
          <w:ilvl w:val="0"/>
          <w:numId w:val="6"/>
        </w:numPr>
        <w:jc w:val="both"/>
        <w:rPr>
          <w:rFonts w:eastAsia="Calibri"/>
          <w:b/>
          <w:color w:val="000000"/>
          <w:lang w:eastAsia="en-US"/>
        </w:rPr>
      </w:pPr>
      <w:r w:rsidRPr="00763457">
        <w:rPr>
          <w:rFonts w:eastAsia="Calibri"/>
          <w:b/>
          <w:color w:val="000000"/>
          <w:lang w:eastAsia="en-US"/>
        </w:rPr>
        <w:t xml:space="preserve">Актуализация на наличния базов ГИС сървърен софтуер </w:t>
      </w:r>
      <w:proofErr w:type="spellStart"/>
      <w:r w:rsidRPr="00763457">
        <w:rPr>
          <w:rFonts w:eastAsia="Calibri"/>
          <w:b/>
          <w:color w:val="000000"/>
          <w:lang w:eastAsia="en-US"/>
        </w:rPr>
        <w:t>ArcGIS</w:t>
      </w:r>
      <w:proofErr w:type="spellEnd"/>
      <w:r w:rsidRPr="00763457">
        <w:rPr>
          <w:rFonts w:eastAsia="Calibri"/>
          <w:b/>
          <w:color w:val="000000"/>
          <w:lang w:eastAsia="en-US"/>
        </w:rPr>
        <w:t xml:space="preserve"> </w:t>
      </w:r>
      <w:proofErr w:type="spellStart"/>
      <w:r w:rsidRPr="00763457">
        <w:rPr>
          <w:rFonts w:eastAsia="Calibri"/>
          <w:b/>
          <w:color w:val="000000"/>
          <w:lang w:eastAsia="en-US"/>
        </w:rPr>
        <w:t>for</w:t>
      </w:r>
      <w:proofErr w:type="spellEnd"/>
      <w:r w:rsidRPr="00763457">
        <w:rPr>
          <w:rFonts w:eastAsia="Calibri"/>
          <w:b/>
          <w:color w:val="000000"/>
          <w:lang w:eastAsia="en-US"/>
        </w:rPr>
        <w:t xml:space="preserve"> Server </w:t>
      </w:r>
      <w:proofErr w:type="spellStart"/>
      <w:r w:rsidRPr="00763457">
        <w:rPr>
          <w:rFonts w:eastAsia="Calibri"/>
          <w:b/>
          <w:color w:val="000000"/>
          <w:lang w:eastAsia="en-US"/>
        </w:rPr>
        <w:t>Workgroup</w:t>
      </w:r>
      <w:proofErr w:type="spellEnd"/>
      <w:r w:rsidRPr="00763457">
        <w:rPr>
          <w:rFonts w:eastAsia="Calibri"/>
          <w:b/>
          <w:color w:val="000000"/>
          <w:lang w:eastAsia="en-US"/>
        </w:rPr>
        <w:t xml:space="preserve"> Standard или еквивалент – доставка на 1бр. лиценз към последна версия 10.</w:t>
      </w:r>
      <w:r w:rsidRPr="00763457">
        <w:rPr>
          <w:rFonts w:eastAsia="Calibri"/>
          <w:b/>
          <w:color w:val="000000"/>
          <w:lang w:val="en-US" w:eastAsia="en-US"/>
        </w:rPr>
        <w:t>x</w:t>
      </w:r>
      <w:r w:rsidR="0051163F">
        <w:rPr>
          <w:rFonts w:eastAsia="Calibri"/>
          <w:b/>
          <w:color w:val="000000"/>
          <w:lang w:eastAsia="en-US"/>
        </w:rPr>
        <w:t xml:space="preserve"> или еквивалент</w:t>
      </w:r>
    </w:p>
    <w:p w:rsidR="00763457" w:rsidRPr="00C731BD" w:rsidRDefault="00763457" w:rsidP="00763457">
      <w:pPr>
        <w:ind w:left="1224"/>
        <w:jc w:val="both"/>
        <w:rPr>
          <w:rFonts w:eastAsia="Calibri"/>
          <w:b/>
          <w:color w:val="000000"/>
          <w:lang w:eastAsia="en-US"/>
        </w:rPr>
      </w:pPr>
    </w:p>
    <w:p w:rsidR="00763457" w:rsidRDefault="00763457" w:rsidP="00763457">
      <w:pPr>
        <w:ind w:left="708"/>
        <w:jc w:val="both"/>
        <w:rPr>
          <w:rFonts w:eastAsia="Calibri"/>
          <w:color w:val="000000"/>
          <w:lang w:eastAsia="en-US"/>
        </w:rPr>
      </w:pPr>
      <w:r w:rsidRPr="00C731BD">
        <w:rPr>
          <w:rFonts w:eastAsia="Calibri"/>
          <w:color w:val="000000"/>
          <w:lang w:eastAsia="en-US"/>
        </w:rPr>
        <w:t xml:space="preserve">Изпълнителят следва да достави актуализирана версия на наличния базов ГИС сървърен софтуер </w:t>
      </w:r>
      <w:proofErr w:type="spellStart"/>
      <w:r w:rsidRPr="00C731BD">
        <w:rPr>
          <w:rFonts w:eastAsia="Calibri"/>
          <w:color w:val="000000"/>
          <w:lang w:eastAsia="en-US"/>
        </w:rPr>
        <w:t>ArcGIS</w:t>
      </w:r>
      <w:proofErr w:type="spellEnd"/>
      <w:r w:rsidRPr="00C731BD">
        <w:rPr>
          <w:rFonts w:eastAsia="Calibri"/>
          <w:color w:val="000000"/>
          <w:lang w:eastAsia="en-US"/>
        </w:rPr>
        <w:t xml:space="preserve"> </w:t>
      </w:r>
      <w:proofErr w:type="spellStart"/>
      <w:r w:rsidRPr="00C731BD">
        <w:rPr>
          <w:rFonts w:eastAsia="Calibri"/>
          <w:color w:val="000000"/>
          <w:lang w:eastAsia="en-US"/>
        </w:rPr>
        <w:t>for</w:t>
      </w:r>
      <w:proofErr w:type="spellEnd"/>
      <w:r w:rsidRPr="00C731BD">
        <w:rPr>
          <w:rFonts w:eastAsia="Calibri"/>
          <w:color w:val="000000"/>
          <w:lang w:eastAsia="en-US"/>
        </w:rPr>
        <w:t xml:space="preserve"> Server </w:t>
      </w:r>
      <w:proofErr w:type="spellStart"/>
      <w:r w:rsidRPr="00C731BD">
        <w:rPr>
          <w:rFonts w:eastAsia="Calibri"/>
          <w:color w:val="000000"/>
          <w:lang w:eastAsia="en-US"/>
        </w:rPr>
        <w:t>Workgroup</w:t>
      </w:r>
      <w:proofErr w:type="spellEnd"/>
      <w:r w:rsidRPr="00C731BD">
        <w:rPr>
          <w:rFonts w:eastAsia="Calibri"/>
          <w:color w:val="000000"/>
          <w:lang w:eastAsia="en-US"/>
        </w:rPr>
        <w:t xml:space="preserve"> Standard</w:t>
      </w:r>
      <w:r>
        <w:rPr>
          <w:rFonts w:eastAsia="Calibri"/>
          <w:color w:val="000000"/>
          <w:lang w:eastAsia="en-US"/>
        </w:rPr>
        <w:t xml:space="preserve"> или еквивалент</w:t>
      </w:r>
      <w:r w:rsidRPr="00C731BD">
        <w:rPr>
          <w:rFonts w:eastAsia="Calibri"/>
          <w:color w:val="000000"/>
          <w:lang w:eastAsia="en-US"/>
        </w:rPr>
        <w:t xml:space="preserve">. Инсталирането на продукта следва да се осъществи след предварително писмено съгласуване с Възложителя на място в МТИТС или чрез отдалечен достъп.    </w:t>
      </w:r>
    </w:p>
    <w:p w:rsidR="00763457" w:rsidRDefault="00763457" w:rsidP="00763457">
      <w:pPr>
        <w:ind w:left="708"/>
        <w:jc w:val="both"/>
        <w:rPr>
          <w:rFonts w:eastAsia="Calibri"/>
          <w:color w:val="000000"/>
          <w:lang w:eastAsia="en-US"/>
        </w:rPr>
      </w:pPr>
    </w:p>
    <w:p w:rsidR="00763457" w:rsidRPr="00763457" w:rsidRDefault="00763457" w:rsidP="00763457">
      <w:pPr>
        <w:pStyle w:val="ListParagraph"/>
        <w:numPr>
          <w:ilvl w:val="0"/>
          <w:numId w:val="6"/>
        </w:numPr>
        <w:jc w:val="both"/>
        <w:rPr>
          <w:rFonts w:eastAsia="Calibri"/>
          <w:b/>
          <w:color w:val="000000"/>
          <w:lang w:eastAsia="en-US"/>
        </w:rPr>
      </w:pPr>
      <w:r w:rsidRPr="00763457">
        <w:rPr>
          <w:rFonts w:eastAsia="Calibri"/>
          <w:b/>
          <w:color w:val="000000"/>
          <w:lang w:eastAsia="en-US"/>
        </w:rPr>
        <w:t>Миграция на наличния приложен ГИС софтуер в МТИТС за управление при кризи към последна версия на доставяния ГИС софтуер</w:t>
      </w:r>
    </w:p>
    <w:p w:rsidR="00763457" w:rsidRDefault="00763457" w:rsidP="00763457">
      <w:pPr>
        <w:jc w:val="both"/>
        <w:rPr>
          <w:rFonts w:eastAsia="Calibri"/>
          <w:b/>
          <w:color w:val="000000"/>
          <w:lang w:eastAsia="en-US"/>
        </w:rPr>
      </w:pPr>
    </w:p>
    <w:p w:rsidR="00763457" w:rsidRPr="00457190" w:rsidRDefault="00763457" w:rsidP="00763457">
      <w:pPr>
        <w:ind w:left="709"/>
        <w:jc w:val="both"/>
        <w:rPr>
          <w:rFonts w:eastAsia="Calibri"/>
          <w:color w:val="000000"/>
          <w:lang w:eastAsia="en-US"/>
        </w:rPr>
      </w:pPr>
      <w:r w:rsidRPr="00457190">
        <w:rPr>
          <w:rFonts w:eastAsia="Calibri"/>
          <w:color w:val="000000"/>
          <w:lang w:eastAsia="en-US"/>
        </w:rPr>
        <w:t xml:space="preserve">Изпълнителят следва да </w:t>
      </w:r>
      <w:r>
        <w:rPr>
          <w:rFonts w:eastAsia="Calibri"/>
          <w:color w:val="000000"/>
          <w:lang w:eastAsia="en-US"/>
        </w:rPr>
        <w:t xml:space="preserve">направи миграция на наличния приложен ГИС софтуер в МТИТС за управление при кризи, като го мигрира към последна версия на доставения базов ГИС софтуер. </w:t>
      </w:r>
      <w:r w:rsidRPr="00457190">
        <w:rPr>
          <w:rFonts w:eastAsia="Calibri"/>
          <w:color w:val="000000"/>
          <w:lang w:eastAsia="en-US"/>
        </w:rPr>
        <w:t xml:space="preserve"> </w:t>
      </w:r>
    </w:p>
    <w:p w:rsidR="00763457" w:rsidRPr="00C731BD" w:rsidRDefault="00763457" w:rsidP="00763457">
      <w:pPr>
        <w:ind w:left="708"/>
        <w:jc w:val="both"/>
        <w:rPr>
          <w:rFonts w:eastAsia="Calibri"/>
          <w:color w:val="000000"/>
          <w:lang w:eastAsia="en-US"/>
        </w:rPr>
      </w:pPr>
      <w:r w:rsidRPr="00C731BD">
        <w:rPr>
          <w:rFonts w:eastAsia="Calibri"/>
          <w:color w:val="000000"/>
          <w:lang w:eastAsia="en-US"/>
        </w:rPr>
        <w:t xml:space="preserve"> </w:t>
      </w:r>
    </w:p>
    <w:p w:rsidR="00763457" w:rsidRPr="00763457" w:rsidRDefault="00763457" w:rsidP="00763457">
      <w:pPr>
        <w:pStyle w:val="ListParagraph"/>
        <w:numPr>
          <w:ilvl w:val="0"/>
          <w:numId w:val="6"/>
        </w:numPr>
        <w:jc w:val="both"/>
        <w:rPr>
          <w:rFonts w:eastAsia="Calibri"/>
          <w:b/>
          <w:color w:val="000000"/>
          <w:lang w:eastAsia="en-US"/>
        </w:rPr>
      </w:pPr>
      <w:r w:rsidRPr="00763457">
        <w:rPr>
          <w:rFonts w:eastAsia="Calibri"/>
          <w:b/>
          <w:color w:val="000000"/>
          <w:lang w:eastAsia="en-US"/>
        </w:rPr>
        <w:t xml:space="preserve">Доставка и </w:t>
      </w:r>
      <w:proofErr w:type="spellStart"/>
      <w:r w:rsidR="00423074">
        <w:rPr>
          <w:rFonts w:eastAsia="Calibri"/>
          <w:b/>
          <w:color w:val="000000"/>
          <w:lang w:eastAsia="en-US"/>
        </w:rPr>
        <w:t>къстамизиране</w:t>
      </w:r>
      <w:proofErr w:type="spellEnd"/>
      <w:r w:rsidR="00423074">
        <w:rPr>
          <w:rFonts w:eastAsia="Calibri"/>
          <w:b/>
          <w:color w:val="000000"/>
          <w:lang w:eastAsia="en-US"/>
        </w:rPr>
        <w:t xml:space="preserve"> на специализирана ГИС за управление при кризисни ситуации</w:t>
      </w:r>
      <w:r w:rsidRPr="00763457">
        <w:rPr>
          <w:rFonts w:eastAsia="Calibri"/>
          <w:b/>
          <w:color w:val="000000"/>
          <w:lang w:eastAsia="en-US"/>
        </w:rPr>
        <w:t xml:space="preserve"> към наличния базов ГИС сървърен софтуер</w:t>
      </w:r>
    </w:p>
    <w:p w:rsidR="00763457" w:rsidRPr="00C731BD" w:rsidRDefault="00763457" w:rsidP="00763457">
      <w:pPr>
        <w:ind w:left="708"/>
        <w:jc w:val="both"/>
        <w:rPr>
          <w:rFonts w:eastAsia="Calibri"/>
          <w:b/>
          <w:color w:val="000000"/>
          <w:lang w:eastAsia="en-US"/>
        </w:rPr>
      </w:pPr>
    </w:p>
    <w:p w:rsidR="00763457" w:rsidRPr="00C731BD" w:rsidRDefault="00763457" w:rsidP="00763457">
      <w:pPr>
        <w:ind w:left="708"/>
        <w:jc w:val="both"/>
        <w:rPr>
          <w:rFonts w:eastAsia="Calibri"/>
          <w:color w:val="000000"/>
          <w:lang w:eastAsia="en-US"/>
        </w:rPr>
      </w:pPr>
      <w:r w:rsidRPr="00C731BD">
        <w:rPr>
          <w:rFonts w:eastAsia="Calibri"/>
          <w:color w:val="000000"/>
          <w:lang w:eastAsia="en-US"/>
        </w:rPr>
        <w:t>Изпълнителят следва да дост</w:t>
      </w:r>
      <w:r w:rsidR="00423074">
        <w:rPr>
          <w:rFonts w:eastAsia="Calibri"/>
          <w:color w:val="000000"/>
          <w:lang w:eastAsia="en-US"/>
        </w:rPr>
        <w:t xml:space="preserve">ави и </w:t>
      </w:r>
      <w:proofErr w:type="spellStart"/>
      <w:r w:rsidR="00423074">
        <w:rPr>
          <w:rFonts w:eastAsia="Calibri"/>
          <w:color w:val="000000"/>
          <w:lang w:eastAsia="en-US"/>
        </w:rPr>
        <w:t>къстамизира</w:t>
      </w:r>
      <w:proofErr w:type="spellEnd"/>
      <w:r w:rsidR="00423074">
        <w:rPr>
          <w:rFonts w:eastAsia="Calibri"/>
          <w:color w:val="000000"/>
          <w:lang w:eastAsia="en-US"/>
        </w:rPr>
        <w:t xml:space="preserve"> специализирана ГИС за управление при кризисни ситуации</w:t>
      </w:r>
      <w:r w:rsidRPr="00C731BD">
        <w:rPr>
          <w:rFonts w:eastAsia="Calibri"/>
          <w:color w:val="000000"/>
          <w:lang w:eastAsia="en-US"/>
        </w:rPr>
        <w:t xml:space="preserve"> </w:t>
      </w:r>
      <w:r w:rsidR="00423074">
        <w:rPr>
          <w:rFonts w:eastAsia="Calibri"/>
          <w:color w:val="000000"/>
          <w:lang w:eastAsia="en-US"/>
        </w:rPr>
        <w:t xml:space="preserve"> </w:t>
      </w:r>
      <w:r w:rsidRPr="00C731BD">
        <w:rPr>
          <w:rFonts w:eastAsia="Calibri"/>
          <w:color w:val="000000"/>
          <w:lang w:eastAsia="en-US"/>
        </w:rPr>
        <w:t>към наличния базов ГИС сървърен</w:t>
      </w:r>
      <w:r w:rsidR="0083661D">
        <w:rPr>
          <w:rFonts w:eastAsia="Calibri"/>
          <w:color w:val="000000"/>
          <w:lang w:eastAsia="en-US"/>
        </w:rPr>
        <w:t xml:space="preserve"> софтуер, коя</w:t>
      </w:r>
      <w:r w:rsidRPr="00C731BD">
        <w:rPr>
          <w:rFonts w:eastAsia="Calibri"/>
          <w:color w:val="000000"/>
          <w:lang w:eastAsia="en-US"/>
        </w:rPr>
        <w:t xml:space="preserve">то да осигурява: </w:t>
      </w:r>
      <w:bookmarkStart w:id="0" w:name="_GoBack"/>
      <w:bookmarkEnd w:id="0"/>
    </w:p>
    <w:p w:rsidR="00763457" w:rsidRPr="00C731BD" w:rsidRDefault="00763457" w:rsidP="00763457">
      <w:pPr>
        <w:ind w:left="708"/>
        <w:jc w:val="both"/>
        <w:rPr>
          <w:rFonts w:eastAsia="Calibri"/>
          <w:color w:val="000000"/>
          <w:lang w:eastAsia="en-US"/>
        </w:rPr>
      </w:pPr>
    </w:p>
    <w:p w:rsidR="00763457" w:rsidRPr="00C731BD" w:rsidRDefault="00763457" w:rsidP="00763457">
      <w:pPr>
        <w:numPr>
          <w:ilvl w:val="2"/>
          <w:numId w:val="3"/>
        </w:numPr>
        <w:spacing w:after="200" w:line="276" w:lineRule="auto"/>
        <w:contextualSpacing/>
        <w:jc w:val="both"/>
        <w:rPr>
          <w:rFonts w:eastAsia="Calibri"/>
          <w:color w:val="000000"/>
          <w:lang w:eastAsia="en-US"/>
        </w:rPr>
      </w:pPr>
      <w:r w:rsidRPr="00C731BD">
        <w:rPr>
          <w:rFonts w:eastAsia="Calibri"/>
          <w:b/>
          <w:i/>
          <w:color w:val="000000"/>
          <w:lang w:eastAsia="en-US"/>
        </w:rPr>
        <w:t>Управление на данни</w:t>
      </w:r>
      <w:r w:rsidRPr="00C731BD">
        <w:rPr>
          <w:rFonts w:eastAsia="Calibri"/>
          <w:color w:val="000000"/>
          <w:lang w:eastAsia="en-US"/>
        </w:rPr>
        <w:t xml:space="preserve"> – да позволява управление на данните по начин, удобен за анализиране, като дава възможност различните потребители лесно да споделят информация помежду си или да формират различни „общности“ за взимане на адекватни решения при кризисни/аварийни ситуации. </w:t>
      </w:r>
    </w:p>
    <w:p w:rsidR="00763457" w:rsidRPr="00C731BD" w:rsidRDefault="00763457" w:rsidP="00763457">
      <w:pPr>
        <w:numPr>
          <w:ilvl w:val="2"/>
          <w:numId w:val="3"/>
        </w:numPr>
        <w:spacing w:after="200" w:line="276" w:lineRule="auto"/>
        <w:contextualSpacing/>
        <w:jc w:val="both"/>
        <w:rPr>
          <w:rFonts w:eastAsia="Calibri"/>
          <w:color w:val="000000"/>
          <w:lang w:eastAsia="en-US"/>
        </w:rPr>
      </w:pPr>
      <w:r w:rsidRPr="00C731BD">
        <w:rPr>
          <w:rFonts w:eastAsia="Calibri"/>
          <w:b/>
          <w:i/>
          <w:color w:val="000000"/>
          <w:lang w:eastAsia="en-US"/>
        </w:rPr>
        <w:lastRenderedPageBreak/>
        <w:t>Планиране и анализ</w:t>
      </w:r>
      <w:r w:rsidRPr="00C731BD">
        <w:rPr>
          <w:rFonts w:eastAsia="Calibri"/>
          <w:color w:val="000000"/>
          <w:lang w:eastAsia="en-US"/>
        </w:rPr>
        <w:t xml:space="preserve">  –  да позволява превръщане на „суровите“ данни в полезна и структурирана информация, която да подпомага вземането на адекватни решения. Данните включват: информация за обекти, ресурси и събития,  структурирани на слоеве както следва:</w:t>
      </w:r>
    </w:p>
    <w:p w:rsidR="00763457" w:rsidRPr="00C731BD" w:rsidRDefault="00763457" w:rsidP="00763457">
      <w:pPr>
        <w:numPr>
          <w:ilvl w:val="3"/>
          <w:numId w:val="4"/>
        </w:numPr>
        <w:spacing w:after="200" w:line="276" w:lineRule="auto"/>
        <w:ind w:hanging="27"/>
        <w:contextualSpacing/>
        <w:jc w:val="both"/>
        <w:rPr>
          <w:rFonts w:eastAsia="Calibri"/>
          <w:color w:val="000000"/>
          <w:lang w:eastAsia="en-US"/>
        </w:rPr>
      </w:pPr>
      <w:r w:rsidRPr="00C731BD">
        <w:rPr>
          <w:rFonts w:eastAsia="Calibri"/>
          <w:color w:val="000000"/>
          <w:lang w:eastAsia="en-US"/>
        </w:rPr>
        <w:t>Зареждане на графични слоеве за общата обстановка</w:t>
      </w:r>
    </w:p>
    <w:p w:rsidR="00763457" w:rsidRPr="00C731BD" w:rsidRDefault="00763457" w:rsidP="00763457">
      <w:pPr>
        <w:numPr>
          <w:ilvl w:val="3"/>
          <w:numId w:val="4"/>
        </w:numPr>
        <w:spacing w:after="200" w:line="276" w:lineRule="auto"/>
        <w:ind w:hanging="27"/>
        <w:contextualSpacing/>
        <w:jc w:val="both"/>
        <w:rPr>
          <w:rFonts w:eastAsia="Calibri"/>
          <w:color w:val="000000"/>
          <w:lang w:eastAsia="en-US"/>
        </w:rPr>
      </w:pPr>
      <w:r w:rsidRPr="00C731BD">
        <w:rPr>
          <w:rFonts w:eastAsia="Calibri"/>
          <w:color w:val="000000"/>
          <w:lang w:eastAsia="en-US"/>
        </w:rPr>
        <w:t>Зареждане на графични слоеве за организационните формирования</w:t>
      </w:r>
    </w:p>
    <w:p w:rsidR="00763457" w:rsidRPr="00C731BD" w:rsidRDefault="00763457" w:rsidP="00763457">
      <w:pPr>
        <w:numPr>
          <w:ilvl w:val="3"/>
          <w:numId w:val="4"/>
        </w:numPr>
        <w:spacing w:after="200" w:line="276" w:lineRule="auto"/>
        <w:ind w:hanging="27"/>
        <w:contextualSpacing/>
        <w:jc w:val="both"/>
        <w:rPr>
          <w:rFonts w:eastAsia="Calibri"/>
          <w:color w:val="000000"/>
          <w:lang w:eastAsia="en-US"/>
        </w:rPr>
      </w:pPr>
      <w:r w:rsidRPr="00C731BD">
        <w:rPr>
          <w:rFonts w:eastAsia="Calibri"/>
          <w:color w:val="000000"/>
          <w:lang w:eastAsia="en-US"/>
        </w:rPr>
        <w:t>Зареждане на графични слоеве за произшествията</w:t>
      </w:r>
    </w:p>
    <w:p w:rsidR="00763457" w:rsidRPr="00C731BD" w:rsidRDefault="00763457" w:rsidP="00763457">
      <w:pPr>
        <w:numPr>
          <w:ilvl w:val="2"/>
          <w:numId w:val="3"/>
        </w:numPr>
        <w:spacing w:after="200" w:line="276" w:lineRule="auto"/>
        <w:contextualSpacing/>
        <w:jc w:val="both"/>
        <w:rPr>
          <w:rFonts w:eastAsia="Calibri"/>
          <w:color w:val="000000"/>
          <w:lang w:eastAsia="en-US"/>
        </w:rPr>
      </w:pPr>
      <w:r w:rsidRPr="00C731BD">
        <w:rPr>
          <w:rFonts w:eastAsia="Calibri"/>
          <w:b/>
          <w:i/>
          <w:color w:val="000000"/>
          <w:lang w:eastAsia="en-US"/>
        </w:rPr>
        <w:t xml:space="preserve">Обща оперативна картина </w:t>
      </w:r>
      <w:r w:rsidRPr="00C731BD">
        <w:rPr>
          <w:rFonts w:eastAsia="Calibri"/>
          <w:color w:val="000000"/>
          <w:lang w:eastAsia="en-US"/>
        </w:rPr>
        <w:t>– да представя информация за възникналата ситуация, визуализирана върху картова подложка, позволяваща тактическо планиране за овладяване на бедствията и показваща пълна картина на текущата ситуация. Да дава възможност за:</w:t>
      </w:r>
    </w:p>
    <w:p w:rsidR="00763457" w:rsidRPr="00C731BD" w:rsidRDefault="00763457" w:rsidP="00763457">
      <w:pPr>
        <w:numPr>
          <w:ilvl w:val="3"/>
          <w:numId w:val="4"/>
        </w:numPr>
        <w:spacing w:after="200" w:line="276" w:lineRule="auto"/>
        <w:ind w:left="2127" w:hanging="426"/>
        <w:contextualSpacing/>
        <w:jc w:val="both"/>
        <w:rPr>
          <w:rFonts w:eastAsia="Calibri"/>
          <w:color w:val="000000"/>
          <w:lang w:eastAsia="en-US"/>
        </w:rPr>
      </w:pPr>
      <w:r w:rsidRPr="00C731BD">
        <w:rPr>
          <w:rFonts w:eastAsia="Calibri"/>
          <w:color w:val="000000"/>
          <w:lang w:eastAsia="en-US"/>
        </w:rPr>
        <w:t>Преместване по картата и промяна на мащаба</w:t>
      </w:r>
    </w:p>
    <w:p w:rsidR="00763457" w:rsidRPr="00C731BD" w:rsidRDefault="00763457" w:rsidP="00763457">
      <w:pPr>
        <w:numPr>
          <w:ilvl w:val="3"/>
          <w:numId w:val="4"/>
        </w:numPr>
        <w:spacing w:after="200" w:line="276" w:lineRule="auto"/>
        <w:ind w:left="2127" w:hanging="426"/>
        <w:contextualSpacing/>
        <w:jc w:val="both"/>
        <w:rPr>
          <w:rFonts w:eastAsia="Calibri"/>
          <w:color w:val="000000"/>
          <w:lang w:eastAsia="en-US"/>
        </w:rPr>
      </w:pPr>
      <w:r w:rsidRPr="00C731BD">
        <w:rPr>
          <w:rFonts w:eastAsia="Calibri"/>
          <w:color w:val="000000"/>
          <w:lang w:eastAsia="en-US"/>
        </w:rPr>
        <w:t>Визуализиране на произшествията с условни знаци в зависимост от типа и тежестта им</w:t>
      </w:r>
    </w:p>
    <w:p w:rsidR="00763457" w:rsidRPr="00C731BD" w:rsidRDefault="00763457" w:rsidP="00763457">
      <w:pPr>
        <w:numPr>
          <w:ilvl w:val="3"/>
          <w:numId w:val="4"/>
        </w:numPr>
        <w:spacing w:after="200" w:line="276" w:lineRule="auto"/>
        <w:ind w:left="2127" w:hanging="426"/>
        <w:contextualSpacing/>
        <w:jc w:val="both"/>
        <w:rPr>
          <w:rFonts w:eastAsia="Calibri"/>
          <w:color w:val="000000"/>
          <w:lang w:eastAsia="en-US"/>
        </w:rPr>
      </w:pPr>
      <w:r w:rsidRPr="00C731BD">
        <w:rPr>
          <w:rFonts w:eastAsia="Calibri"/>
          <w:color w:val="000000"/>
          <w:lang w:eastAsia="en-US"/>
        </w:rPr>
        <w:t xml:space="preserve">Позициониране към </w:t>
      </w:r>
      <w:proofErr w:type="spellStart"/>
      <w:r w:rsidRPr="00C731BD">
        <w:rPr>
          <w:rFonts w:eastAsia="Calibri"/>
          <w:color w:val="000000"/>
          <w:lang w:eastAsia="en-US"/>
        </w:rPr>
        <w:t>новопостъпило</w:t>
      </w:r>
      <w:proofErr w:type="spellEnd"/>
      <w:r w:rsidRPr="00C731BD">
        <w:rPr>
          <w:rFonts w:eastAsia="Calibri"/>
          <w:color w:val="000000"/>
          <w:lang w:eastAsia="en-US"/>
        </w:rPr>
        <w:t xml:space="preserve"> произшествие и преглед на информацията за </w:t>
      </w:r>
      <w:proofErr w:type="spellStart"/>
      <w:r w:rsidRPr="00C731BD">
        <w:rPr>
          <w:rFonts w:eastAsia="Calibri"/>
          <w:color w:val="000000"/>
          <w:lang w:eastAsia="en-US"/>
        </w:rPr>
        <w:t>новопостъпили</w:t>
      </w:r>
      <w:proofErr w:type="spellEnd"/>
      <w:r w:rsidRPr="00C731BD">
        <w:rPr>
          <w:rFonts w:eastAsia="Calibri"/>
          <w:color w:val="000000"/>
          <w:lang w:eastAsia="en-US"/>
        </w:rPr>
        <w:t xml:space="preserve"> произшествия</w:t>
      </w:r>
    </w:p>
    <w:p w:rsidR="00763457" w:rsidRPr="00C731BD" w:rsidRDefault="00763457" w:rsidP="00763457">
      <w:pPr>
        <w:numPr>
          <w:ilvl w:val="2"/>
          <w:numId w:val="3"/>
        </w:numPr>
        <w:spacing w:after="200" w:line="276" w:lineRule="auto"/>
        <w:contextualSpacing/>
        <w:jc w:val="both"/>
        <w:rPr>
          <w:rFonts w:eastAsia="Calibri"/>
          <w:color w:val="000000"/>
          <w:lang w:eastAsia="en-US"/>
        </w:rPr>
      </w:pPr>
      <w:r w:rsidRPr="00C731BD">
        <w:rPr>
          <w:rFonts w:eastAsia="Calibri"/>
          <w:b/>
          <w:i/>
          <w:color w:val="000000"/>
          <w:lang w:eastAsia="en-US"/>
        </w:rPr>
        <w:t>Справки и отчети</w:t>
      </w:r>
      <w:r w:rsidRPr="00C731BD">
        <w:rPr>
          <w:rFonts w:eastAsia="Calibri"/>
          <w:color w:val="000000"/>
          <w:lang w:eastAsia="en-US"/>
        </w:rPr>
        <w:t xml:space="preserve"> – генериране на справки и отчети след приключване на дадено събитие. Да дава възможност за:</w:t>
      </w:r>
    </w:p>
    <w:p w:rsidR="00763457" w:rsidRPr="00C731BD" w:rsidRDefault="00763457" w:rsidP="00763457">
      <w:pPr>
        <w:numPr>
          <w:ilvl w:val="3"/>
          <w:numId w:val="4"/>
        </w:numPr>
        <w:spacing w:after="200" w:line="276" w:lineRule="auto"/>
        <w:ind w:left="2127" w:hanging="426"/>
        <w:contextualSpacing/>
        <w:jc w:val="both"/>
        <w:rPr>
          <w:rFonts w:eastAsia="Calibri"/>
          <w:color w:val="000000"/>
          <w:lang w:eastAsia="en-US"/>
        </w:rPr>
      </w:pPr>
      <w:r w:rsidRPr="00C731BD">
        <w:rPr>
          <w:rFonts w:eastAsia="Calibri"/>
          <w:color w:val="000000"/>
          <w:lang w:eastAsia="en-US"/>
        </w:rPr>
        <w:t>Извеждане на предефинирани справки в табличен и графичен вид (бар диаграми)</w:t>
      </w:r>
    </w:p>
    <w:p w:rsidR="00763457" w:rsidRPr="00C731BD" w:rsidRDefault="00763457" w:rsidP="00763457">
      <w:pPr>
        <w:numPr>
          <w:ilvl w:val="3"/>
          <w:numId w:val="4"/>
        </w:numPr>
        <w:spacing w:after="200" w:line="276" w:lineRule="auto"/>
        <w:ind w:left="2127" w:hanging="426"/>
        <w:contextualSpacing/>
        <w:jc w:val="both"/>
        <w:rPr>
          <w:rFonts w:eastAsia="Calibri"/>
          <w:color w:val="000000"/>
          <w:lang w:eastAsia="en-US"/>
        </w:rPr>
      </w:pPr>
      <w:r w:rsidRPr="00C731BD">
        <w:rPr>
          <w:rFonts w:eastAsia="Calibri"/>
          <w:color w:val="000000"/>
          <w:lang w:eastAsia="en-US"/>
        </w:rPr>
        <w:t>Извеждане на динамично формирани справки по зададени критерии в табличен и графичен вид (бар диаграми)</w:t>
      </w:r>
    </w:p>
    <w:p w:rsidR="00763457" w:rsidRPr="00C731BD" w:rsidRDefault="00763457" w:rsidP="00763457">
      <w:pPr>
        <w:numPr>
          <w:ilvl w:val="3"/>
          <w:numId w:val="4"/>
        </w:numPr>
        <w:spacing w:after="200" w:line="276" w:lineRule="auto"/>
        <w:ind w:left="2127" w:hanging="426"/>
        <w:contextualSpacing/>
        <w:jc w:val="both"/>
        <w:rPr>
          <w:rFonts w:eastAsia="Calibri"/>
          <w:color w:val="000000"/>
          <w:lang w:eastAsia="en-US"/>
        </w:rPr>
      </w:pPr>
      <w:r w:rsidRPr="00C731BD">
        <w:rPr>
          <w:rFonts w:eastAsia="Calibri"/>
          <w:color w:val="000000"/>
          <w:lang w:eastAsia="en-US"/>
        </w:rPr>
        <w:t>Формиране на тематични карти по избрани критерии (региони, жп линии, участъци)</w:t>
      </w:r>
    </w:p>
    <w:p w:rsidR="00763457" w:rsidRPr="00C731BD" w:rsidRDefault="00763457" w:rsidP="00763457">
      <w:pPr>
        <w:numPr>
          <w:ilvl w:val="2"/>
          <w:numId w:val="3"/>
        </w:numPr>
        <w:spacing w:after="200" w:line="276" w:lineRule="auto"/>
        <w:contextualSpacing/>
        <w:jc w:val="both"/>
        <w:rPr>
          <w:rFonts w:eastAsia="Calibri"/>
          <w:color w:val="000000"/>
          <w:lang w:eastAsia="en-US"/>
        </w:rPr>
      </w:pPr>
      <w:r w:rsidRPr="00C731BD">
        <w:rPr>
          <w:rFonts w:eastAsia="Calibri"/>
          <w:b/>
          <w:i/>
          <w:color w:val="000000"/>
          <w:lang w:eastAsia="en-US"/>
        </w:rPr>
        <w:t xml:space="preserve">Мобилни </w:t>
      </w:r>
      <w:r w:rsidRPr="00C731BD">
        <w:rPr>
          <w:rFonts w:eastAsia="Calibri"/>
          <w:color w:val="000000"/>
          <w:lang w:eastAsia="en-US"/>
        </w:rPr>
        <w:t>– възможност за връзка от и към мобилни приложения.</w:t>
      </w:r>
    </w:p>
    <w:p w:rsidR="00763457" w:rsidRPr="00C731BD" w:rsidRDefault="00763457" w:rsidP="00763457">
      <w:pPr>
        <w:ind w:left="1224"/>
        <w:contextualSpacing/>
        <w:jc w:val="both"/>
        <w:rPr>
          <w:rFonts w:eastAsia="Calibri"/>
          <w:color w:val="000000"/>
          <w:lang w:eastAsia="en-US"/>
        </w:rPr>
      </w:pPr>
    </w:p>
    <w:p w:rsidR="00763457" w:rsidRPr="00C731BD" w:rsidRDefault="00423074" w:rsidP="00763457">
      <w:pPr>
        <w:ind w:left="708"/>
        <w:jc w:val="both"/>
        <w:rPr>
          <w:rFonts w:eastAsia="Calibri"/>
          <w:color w:val="000000"/>
          <w:lang w:eastAsia="en-US"/>
        </w:rPr>
      </w:pPr>
      <w:r>
        <w:rPr>
          <w:rFonts w:eastAsia="Calibri"/>
          <w:color w:val="000000"/>
          <w:lang w:eastAsia="en-US"/>
        </w:rPr>
        <w:t xml:space="preserve">Инсталирането на доставената и </w:t>
      </w:r>
      <w:proofErr w:type="spellStart"/>
      <w:r>
        <w:rPr>
          <w:rFonts w:eastAsia="Calibri"/>
          <w:color w:val="000000"/>
          <w:lang w:eastAsia="en-US"/>
        </w:rPr>
        <w:t>къстамизирана</w:t>
      </w:r>
      <w:proofErr w:type="spellEnd"/>
      <w:r>
        <w:rPr>
          <w:rFonts w:eastAsia="Calibri"/>
          <w:color w:val="000000"/>
          <w:lang w:eastAsia="en-US"/>
        </w:rPr>
        <w:t xml:space="preserve"> специализирана ГИС за управление при кризисни ситуации</w:t>
      </w:r>
      <w:r w:rsidR="00763457" w:rsidRPr="00C731BD">
        <w:rPr>
          <w:rFonts w:eastAsia="Calibri"/>
          <w:color w:val="000000"/>
          <w:lang w:eastAsia="en-US"/>
        </w:rPr>
        <w:t xml:space="preserve"> </w:t>
      </w:r>
      <w:r>
        <w:rPr>
          <w:rFonts w:eastAsia="Calibri"/>
          <w:color w:val="000000"/>
          <w:lang w:eastAsia="en-US"/>
        </w:rPr>
        <w:t xml:space="preserve"> </w:t>
      </w:r>
      <w:r w:rsidR="00763457">
        <w:rPr>
          <w:rFonts w:eastAsia="Calibri"/>
          <w:color w:val="000000"/>
          <w:lang w:eastAsia="en-US"/>
        </w:rPr>
        <w:t xml:space="preserve"> </w:t>
      </w:r>
      <w:r w:rsidR="00763457" w:rsidRPr="00C731BD">
        <w:rPr>
          <w:rFonts w:eastAsia="Calibri"/>
          <w:color w:val="000000"/>
          <w:lang w:eastAsia="en-US"/>
        </w:rPr>
        <w:t xml:space="preserve">следва да се осъществи след предварително писмено съгласуване с Възложителя на място в МТИТС или чрез отдалечен достъп.   </w:t>
      </w:r>
    </w:p>
    <w:p w:rsidR="00763457" w:rsidRPr="00C731BD" w:rsidRDefault="00763457" w:rsidP="00763457">
      <w:pPr>
        <w:ind w:left="708"/>
        <w:jc w:val="both"/>
        <w:rPr>
          <w:rFonts w:eastAsia="Calibri"/>
          <w:color w:val="000000"/>
          <w:lang w:eastAsia="en-US"/>
        </w:rPr>
      </w:pPr>
    </w:p>
    <w:p w:rsidR="00763457" w:rsidRPr="00763457" w:rsidRDefault="00763457" w:rsidP="00763457">
      <w:pPr>
        <w:pStyle w:val="ListParagraph"/>
        <w:numPr>
          <w:ilvl w:val="0"/>
          <w:numId w:val="6"/>
        </w:numPr>
        <w:jc w:val="both"/>
        <w:rPr>
          <w:rFonts w:eastAsia="Calibri"/>
          <w:b/>
          <w:color w:val="000000"/>
          <w:lang w:eastAsia="en-US"/>
        </w:rPr>
      </w:pPr>
      <w:r w:rsidRPr="00763457">
        <w:rPr>
          <w:rFonts w:eastAsia="Calibri"/>
          <w:b/>
          <w:color w:val="000000"/>
          <w:lang w:eastAsia="en-US"/>
        </w:rPr>
        <w:t xml:space="preserve">Модифициране на горепосочения ГИС на МТИТС чрез обвързване с базата данни на държавно предприятие Национална компания „Железопътна инфраструктура“ </w:t>
      </w:r>
    </w:p>
    <w:p w:rsidR="00763457" w:rsidRPr="00C731BD" w:rsidRDefault="00763457" w:rsidP="00763457">
      <w:pPr>
        <w:ind w:left="708"/>
        <w:jc w:val="both"/>
        <w:rPr>
          <w:rFonts w:eastAsia="Calibri"/>
          <w:b/>
          <w:color w:val="000000"/>
          <w:lang w:eastAsia="en-US"/>
        </w:rPr>
      </w:pPr>
    </w:p>
    <w:p w:rsidR="00763457" w:rsidRDefault="00763457" w:rsidP="00763457">
      <w:pPr>
        <w:ind w:left="851"/>
        <w:jc w:val="both"/>
        <w:rPr>
          <w:rFonts w:eastAsia="Calibri"/>
          <w:color w:val="000000"/>
          <w:lang w:eastAsia="en-US"/>
        </w:rPr>
      </w:pPr>
      <w:r w:rsidRPr="00C731BD">
        <w:rPr>
          <w:rFonts w:eastAsia="Calibri"/>
          <w:color w:val="000000"/>
          <w:lang w:eastAsia="en-US"/>
        </w:rPr>
        <w:t xml:space="preserve">За целите на свързването към базата данни, Възложителят предоставя на Изпълнителя съответния достъп до данните, които да бъдат интегрирани към системата в предварително съгласувана структура и формат. </w:t>
      </w:r>
    </w:p>
    <w:p w:rsidR="0051163F" w:rsidRDefault="0051163F" w:rsidP="00763457">
      <w:pPr>
        <w:ind w:left="851"/>
        <w:jc w:val="both"/>
        <w:rPr>
          <w:rFonts w:eastAsia="Calibri"/>
          <w:color w:val="000000"/>
          <w:lang w:eastAsia="en-US"/>
        </w:rPr>
      </w:pPr>
    </w:p>
    <w:p w:rsidR="0051163F" w:rsidRPr="0051163F" w:rsidRDefault="0051163F" w:rsidP="0051163F">
      <w:pPr>
        <w:pStyle w:val="ListParagraph"/>
        <w:numPr>
          <w:ilvl w:val="0"/>
          <w:numId w:val="6"/>
        </w:numPr>
        <w:jc w:val="both"/>
        <w:rPr>
          <w:rFonts w:eastAsia="Calibri"/>
          <w:b/>
          <w:color w:val="000000"/>
          <w:lang w:eastAsia="en-US"/>
        </w:rPr>
      </w:pPr>
      <w:r w:rsidRPr="0051163F">
        <w:rPr>
          <w:rFonts w:eastAsia="MS Mincho"/>
          <w:b/>
          <w:color w:val="000000"/>
        </w:rPr>
        <w:t xml:space="preserve">Обучение на трима служители на дирекция БТНУК за работа с </w:t>
      </w:r>
      <w:r w:rsidRPr="0051163F">
        <w:rPr>
          <w:b/>
          <w:color w:val="000000"/>
        </w:rPr>
        <w:t>актуализирания ГИС  софтуер и специализираната ГИС за управление при кризисни ситуации;</w:t>
      </w:r>
    </w:p>
    <w:p w:rsidR="00763457" w:rsidRDefault="00763457" w:rsidP="00763457">
      <w:pPr>
        <w:spacing w:after="200" w:line="276" w:lineRule="auto"/>
        <w:ind w:left="1224"/>
        <w:contextualSpacing/>
        <w:jc w:val="both"/>
        <w:rPr>
          <w:rFonts w:eastAsia="Calibri"/>
          <w:color w:val="000000"/>
          <w:lang w:eastAsia="en-US"/>
        </w:rPr>
      </w:pPr>
    </w:p>
    <w:p w:rsidR="00763457" w:rsidRDefault="00763457" w:rsidP="00763457">
      <w:pPr>
        <w:jc w:val="both"/>
        <w:rPr>
          <w:rFonts w:eastAsia="Calibri"/>
          <w:b/>
          <w:color w:val="000000"/>
          <w:u w:val="single"/>
          <w:lang w:eastAsia="en-US"/>
        </w:rPr>
      </w:pPr>
      <w:r w:rsidRPr="00F46B8E">
        <w:rPr>
          <w:rFonts w:eastAsia="Calibri"/>
          <w:b/>
          <w:color w:val="000000"/>
          <w:u w:val="single"/>
          <w:lang w:eastAsia="en-US"/>
        </w:rPr>
        <w:t xml:space="preserve">Под еквивалент се разбира софтуер, който включва всички възможности и характеристики на </w:t>
      </w:r>
      <w:r>
        <w:rPr>
          <w:rFonts w:eastAsia="Calibri"/>
          <w:b/>
          <w:color w:val="000000"/>
          <w:u w:val="single"/>
          <w:lang w:eastAsia="en-US"/>
        </w:rPr>
        <w:t>посочения софтуер</w:t>
      </w:r>
      <w:r w:rsidRPr="00F46B8E">
        <w:rPr>
          <w:rFonts w:eastAsia="Calibri"/>
          <w:b/>
          <w:color w:val="000000"/>
          <w:u w:val="single"/>
          <w:lang w:eastAsia="en-US"/>
        </w:rPr>
        <w:t>.</w:t>
      </w:r>
    </w:p>
    <w:sectPr w:rsidR="00763457" w:rsidSect="00466B04">
      <w:pgSz w:w="11906" w:h="16838"/>
      <w:pgMar w:top="851"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5760E"/>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664C3C"/>
    <w:multiLevelType w:val="multilevel"/>
    <w:tmpl w:val="A26E006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8F0249"/>
    <w:multiLevelType w:val="multilevel"/>
    <w:tmpl w:val="6472D40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2694DA6"/>
    <w:multiLevelType w:val="hybridMultilevel"/>
    <w:tmpl w:val="34C27F14"/>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53D546FF"/>
    <w:multiLevelType w:val="hybridMultilevel"/>
    <w:tmpl w:val="C776ABA8"/>
    <w:lvl w:ilvl="0" w:tplc="D316A4F4">
      <w:start w:val="1"/>
      <w:numFmt w:val="decimal"/>
      <w:lvlText w:val="%1."/>
      <w:lvlJc w:val="left"/>
      <w:pPr>
        <w:ind w:left="1584" w:hanging="360"/>
      </w:pPr>
      <w:rPr>
        <w:rFonts w:hint="default"/>
      </w:rPr>
    </w:lvl>
    <w:lvl w:ilvl="1" w:tplc="04020019" w:tentative="1">
      <w:start w:val="1"/>
      <w:numFmt w:val="lowerLetter"/>
      <w:lvlText w:val="%2."/>
      <w:lvlJc w:val="left"/>
      <w:pPr>
        <w:ind w:left="2304" w:hanging="360"/>
      </w:pPr>
    </w:lvl>
    <w:lvl w:ilvl="2" w:tplc="0402001B">
      <w:start w:val="1"/>
      <w:numFmt w:val="lowerRoman"/>
      <w:lvlText w:val="%3."/>
      <w:lvlJc w:val="right"/>
      <w:pPr>
        <w:ind w:left="3024" w:hanging="180"/>
      </w:pPr>
    </w:lvl>
    <w:lvl w:ilvl="3" w:tplc="0402000F" w:tentative="1">
      <w:start w:val="1"/>
      <w:numFmt w:val="decimal"/>
      <w:lvlText w:val="%4."/>
      <w:lvlJc w:val="left"/>
      <w:pPr>
        <w:ind w:left="3744" w:hanging="360"/>
      </w:pPr>
    </w:lvl>
    <w:lvl w:ilvl="4" w:tplc="04020019" w:tentative="1">
      <w:start w:val="1"/>
      <w:numFmt w:val="lowerLetter"/>
      <w:lvlText w:val="%5."/>
      <w:lvlJc w:val="left"/>
      <w:pPr>
        <w:ind w:left="4464" w:hanging="360"/>
      </w:pPr>
    </w:lvl>
    <w:lvl w:ilvl="5" w:tplc="0402001B" w:tentative="1">
      <w:start w:val="1"/>
      <w:numFmt w:val="lowerRoman"/>
      <w:lvlText w:val="%6."/>
      <w:lvlJc w:val="right"/>
      <w:pPr>
        <w:ind w:left="5184" w:hanging="180"/>
      </w:pPr>
    </w:lvl>
    <w:lvl w:ilvl="6" w:tplc="0402000F" w:tentative="1">
      <w:start w:val="1"/>
      <w:numFmt w:val="decimal"/>
      <w:lvlText w:val="%7."/>
      <w:lvlJc w:val="left"/>
      <w:pPr>
        <w:ind w:left="5904" w:hanging="360"/>
      </w:pPr>
    </w:lvl>
    <w:lvl w:ilvl="7" w:tplc="04020019" w:tentative="1">
      <w:start w:val="1"/>
      <w:numFmt w:val="lowerLetter"/>
      <w:lvlText w:val="%8."/>
      <w:lvlJc w:val="left"/>
      <w:pPr>
        <w:ind w:left="6624" w:hanging="360"/>
      </w:pPr>
    </w:lvl>
    <w:lvl w:ilvl="8" w:tplc="0402001B" w:tentative="1">
      <w:start w:val="1"/>
      <w:numFmt w:val="lowerRoman"/>
      <w:lvlText w:val="%9."/>
      <w:lvlJc w:val="right"/>
      <w:pPr>
        <w:ind w:left="7344" w:hanging="180"/>
      </w:pPr>
    </w:lvl>
  </w:abstractNum>
  <w:abstractNum w:abstractNumId="5">
    <w:nsid w:val="71E81AF4"/>
    <w:multiLevelType w:val="hybridMultilevel"/>
    <w:tmpl w:val="766C873C"/>
    <w:lvl w:ilvl="0" w:tplc="762CDEBC">
      <w:start w:val="1"/>
      <w:numFmt w:val="decimal"/>
      <w:lvlText w:val="%1."/>
      <w:lvlJc w:val="left"/>
      <w:pPr>
        <w:ind w:left="720" w:hanging="360"/>
      </w:pPr>
      <w:rPr>
        <w:rFonts w:ascii="Times New Roman" w:eastAsia="Calibri" w:hAnsi="Times New Roman"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57"/>
    <w:rsid w:val="002E245C"/>
    <w:rsid w:val="0030106A"/>
    <w:rsid w:val="00423074"/>
    <w:rsid w:val="00466B04"/>
    <w:rsid w:val="0051163F"/>
    <w:rsid w:val="007112D9"/>
    <w:rsid w:val="00763457"/>
    <w:rsid w:val="008366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AC9ADBD-D2E9-414F-9E9E-24AE494A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57"/>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Torbov</dc:creator>
  <cp:keywords/>
  <dc:description/>
  <cp:lastModifiedBy>Nikolay Torbov</cp:lastModifiedBy>
  <cp:revision>6</cp:revision>
  <dcterms:created xsi:type="dcterms:W3CDTF">2015-08-11T08:58:00Z</dcterms:created>
  <dcterms:modified xsi:type="dcterms:W3CDTF">2015-08-21T08:14:00Z</dcterms:modified>
</cp:coreProperties>
</file>